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1B31D" w14:textId="2BB169C7" w:rsidR="006440EB" w:rsidRDefault="006440EB"/>
    <w:p w14:paraId="6E2FFF6D" w14:textId="5F868246" w:rsidR="00FF3873" w:rsidRDefault="00FF3873" w:rsidP="00FF3873">
      <w:pPr>
        <w:rPr>
          <w:b/>
          <w:sz w:val="28"/>
        </w:rPr>
      </w:pPr>
      <w:r w:rsidRPr="00A95D11">
        <w:rPr>
          <w:b/>
          <w:sz w:val="28"/>
        </w:rPr>
        <w:t xml:space="preserve">GA ČR </w:t>
      </w:r>
      <w:r>
        <w:rPr>
          <w:b/>
          <w:sz w:val="28"/>
        </w:rPr>
        <w:t>– Standardní projekty</w:t>
      </w:r>
    </w:p>
    <w:p w14:paraId="46409038" w14:textId="35E9978D" w:rsidR="00FF3873" w:rsidRDefault="00FF3873" w:rsidP="00FF3873">
      <w:pPr>
        <w:rPr>
          <w:b/>
          <w:sz w:val="28"/>
        </w:rPr>
      </w:pPr>
    </w:p>
    <w:p w14:paraId="1E1F7545" w14:textId="77777777" w:rsidR="00FF3873" w:rsidRPr="00FF3873" w:rsidRDefault="00FF3873" w:rsidP="00FF3873">
      <w:pPr>
        <w:rPr>
          <w:b/>
          <w:bCs/>
          <w:color w:val="2F5496" w:themeColor="accent5" w:themeShade="BF"/>
          <w:sz w:val="24"/>
          <w:szCs w:val="24"/>
          <w:u w:val="single"/>
        </w:rPr>
      </w:pPr>
      <w:bookmarkStart w:id="0" w:name="_Hlk97547473"/>
      <w:r w:rsidRPr="00FF3873">
        <w:rPr>
          <w:b/>
          <w:bCs/>
          <w:color w:val="2F5496" w:themeColor="accent5" w:themeShade="BF"/>
          <w:sz w:val="24"/>
          <w:szCs w:val="24"/>
          <w:u w:val="single"/>
        </w:rPr>
        <w:t>Termíny:</w:t>
      </w:r>
    </w:p>
    <w:p w14:paraId="37E2A5B1" w14:textId="5BE01F18" w:rsidR="00FF3873" w:rsidRDefault="00FF3873" w:rsidP="00FF3873">
      <w:pPr>
        <w:rPr>
          <w:b/>
          <w:bCs/>
          <w:sz w:val="24"/>
        </w:rPr>
      </w:pPr>
      <w:r>
        <w:rPr>
          <w:sz w:val="24"/>
        </w:rPr>
        <w:t xml:space="preserve">Soutěž začíná </w:t>
      </w:r>
      <w:proofErr w:type="gramStart"/>
      <w:r>
        <w:rPr>
          <w:sz w:val="24"/>
        </w:rPr>
        <w:t xml:space="preserve">dnem:  </w:t>
      </w:r>
      <w:r w:rsidR="00806836">
        <w:rPr>
          <w:b/>
          <w:bCs/>
          <w:sz w:val="24"/>
        </w:rPr>
        <w:t>9</w:t>
      </w:r>
      <w:r w:rsidR="00012C52">
        <w:rPr>
          <w:b/>
          <w:bCs/>
          <w:sz w:val="24"/>
        </w:rPr>
        <w:t>.</w:t>
      </w:r>
      <w:proofErr w:type="gramEnd"/>
      <w:r w:rsidR="00012C52">
        <w:rPr>
          <w:b/>
          <w:bCs/>
          <w:sz w:val="24"/>
        </w:rPr>
        <w:t xml:space="preserve"> 2</w:t>
      </w:r>
      <w:r w:rsidRPr="00A95D11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 w:rsidRPr="00A95D11">
        <w:rPr>
          <w:b/>
          <w:bCs/>
          <w:sz w:val="24"/>
        </w:rPr>
        <w:t>202</w:t>
      </w:r>
      <w:r w:rsidR="00806836">
        <w:rPr>
          <w:b/>
          <w:bCs/>
          <w:sz w:val="24"/>
        </w:rPr>
        <w:t>4</w:t>
      </w:r>
    </w:p>
    <w:p w14:paraId="2E92C3F6" w14:textId="78129DDE" w:rsidR="00FF3873" w:rsidRPr="006F13F5" w:rsidRDefault="00FF3873" w:rsidP="00FF3873">
      <w:pPr>
        <w:rPr>
          <w:b/>
          <w:bCs/>
          <w:sz w:val="28"/>
          <w:szCs w:val="24"/>
        </w:rPr>
      </w:pPr>
      <w:proofErr w:type="spellStart"/>
      <w:r w:rsidRPr="00FF3873">
        <w:rPr>
          <w:sz w:val="24"/>
        </w:rPr>
        <w:t>Deadline</w:t>
      </w:r>
      <w:proofErr w:type="spellEnd"/>
      <w:r w:rsidRPr="00FF3873">
        <w:rPr>
          <w:sz w:val="24"/>
        </w:rPr>
        <w:t>:</w:t>
      </w:r>
      <w:r w:rsidRPr="00FF3873">
        <w:rPr>
          <w:sz w:val="24"/>
        </w:rPr>
        <w:tab/>
      </w:r>
      <w:r>
        <w:rPr>
          <w:b/>
          <w:bCs/>
          <w:sz w:val="24"/>
        </w:rPr>
        <w:tab/>
      </w:r>
      <w:r w:rsidR="00806836">
        <w:rPr>
          <w:b/>
          <w:bCs/>
          <w:color w:val="C00000"/>
          <w:sz w:val="28"/>
          <w:szCs w:val="24"/>
          <w:u w:val="single"/>
        </w:rPr>
        <w:t>3</w:t>
      </w:r>
      <w:r w:rsidRPr="008B262B">
        <w:rPr>
          <w:b/>
          <w:bCs/>
          <w:color w:val="C00000"/>
          <w:sz w:val="28"/>
          <w:szCs w:val="24"/>
          <w:u w:val="single"/>
        </w:rPr>
        <w:t xml:space="preserve">. </w:t>
      </w:r>
      <w:r w:rsidR="004C7D3B">
        <w:rPr>
          <w:b/>
          <w:bCs/>
          <w:color w:val="C00000"/>
          <w:sz w:val="28"/>
          <w:szCs w:val="24"/>
          <w:u w:val="single"/>
        </w:rPr>
        <w:t>4</w:t>
      </w:r>
      <w:r w:rsidRPr="008B262B">
        <w:rPr>
          <w:b/>
          <w:bCs/>
          <w:color w:val="C00000"/>
          <w:sz w:val="28"/>
          <w:szCs w:val="24"/>
          <w:u w:val="single"/>
        </w:rPr>
        <w:t>. 202</w:t>
      </w:r>
      <w:r w:rsidR="00806836">
        <w:rPr>
          <w:b/>
          <w:bCs/>
          <w:color w:val="C00000"/>
          <w:sz w:val="28"/>
          <w:szCs w:val="24"/>
          <w:u w:val="single"/>
        </w:rPr>
        <w:t>4</w:t>
      </w:r>
      <w:r w:rsidRPr="008B262B">
        <w:rPr>
          <w:b/>
          <w:bCs/>
          <w:color w:val="C00000"/>
          <w:sz w:val="28"/>
          <w:szCs w:val="24"/>
          <w:u w:val="single"/>
        </w:rPr>
        <w:t xml:space="preserve"> (</w:t>
      </w:r>
      <w:r w:rsidR="00806836">
        <w:rPr>
          <w:b/>
          <w:bCs/>
          <w:color w:val="C00000"/>
          <w:sz w:val="28"/>
          <w:szCs w:val="24"/>
          <w:u w:val="single"/>
        </w:rPr>
        <w:t>středa</w:t>
      </w:r>
      <w:r w:rsidRPr="008B262B">
        <w:rPr>
          <w:b/>
          <w:bCs/>
          <w:color w:val="C00000"/>
          <w:sz w:val="28"/>
          <w:szCs w:val="24"/>
          <w:u w:val="single"/>
        </w:rPr>
        <w:t>)</w:t>
      </w:r>
    </w:p>
    <w:p w14:paraId="3A0CCF5D" w14:textId="0C9A7D1A" w:rsidR="00FF3873" w:rsidRPr="00A95D11" w:rsidRDefault="00FF3873" w:rsidP="00FF3873">
      <w:pPr>
        <w:rPr>
          <w:b/>
          <w:bCs/>
          <w:sz w:val="24"/>
        </w:rPr>
      </w:pPr>
      <w:r w:rsidRPr="00FF3873">
        <w:rPr>
          <w:sz w:val="24"/>
        </w:rPr>
        <w:t>Vyhlášení výsledků:</w:t>
      </w:r>
      <w:r>
        <w:rPr>
          <w:b/>
          <w:bCs/>
          <w:sz w:val="24"/>
        </w:rPr>
        <w:tab/>
      </w:r>
      <w:r w:rsidR="00806836">
        <w:rPr>
          <w:b/>
          <w:bCs/>
          <w:sz w:val="24"/>
        </w:rPr>
        <w:t>29</w:t>
      </w:r>
      <w:r w:rsidR="00012C52">
        <w:rPr>
          <w:b/>
          <w:bCs/>
          <w:sz w:val="24"/>
        </w:rPr>
        <w:t>. listopadu 202</w:t>
      </w:r>
      <w:r w:rsidR="00806836">
        <w:rPr>
          <w:b/>
          <w:bCs/>
          <w:sz w:val="24"/>
        </w:rPr>
        <w:t>4</w:t>
      </w:r>
    </w:p>
    <w:p w14:paraId="5D67C294" w14:textId="77777777" w:rsidR="00FF3873" w:rsidRPr="00A95D11" w:rsidRDefault="00FF3873" w:rsidP="00FF3873">
      <w:pPr>
        <w:rPr>
          <w:b/>
          <w:sz w:val="28"/>
        </w:rPr>
      </w:pPr>
    </w:p>
    <w:p w14:paraId="359EB5AE" w14:textId="7F4ED109" w:rsidR="00FF3873" w:rsidRPr="00FF3873" w:rsidRDefault="00FF3873" w:rsidP="00FF3873">
      <w:pPr>
        <w:rPr>
          <w:b/>
          <w:bCs/>
          <w:color w:val="2F5496" w:themeColor="accent5" w:themeShade="BF"/>
          <w:sz w:val="24"/>
          <w:szCs w:val="24"/>
          <w:u w:val="single"/>
        </w:rPr>
      </w:pPr>
      <w:r>
        <w:rPr>
          <w:b/>
          <w:bCs/>
          <w:color w:val="2F5496" w:themeColor="accent5" w:themeShade="BF"/>
          <w:sz w:val="24"/>
          <w:szCs w:val="24"/>
          <w:u w:val="single"/>
        </w:rPr>
        <w:t>Vnitřní t</w:t>
      </w:r>
      <w:r w:rsidRPr="00FF3873">
        <w:rPr>
          <w:b/>
          <w:bCs/>
          <w:color w:val="2F5496" w:themeColor="accent5" w:themeShade="BF"/>
          <w:sz w:val="24"/>
          <w:szCs w:val="24"/>
          <w:u w:val="single"/>
        </w:rPr>
        <w:t>ermíny:</w:t>
      </w:r>
    </w:p>
    <w:p w14:paraId="504D9AAB" w14:textId="07868A41" w:rsidR="00FF3873" w:rsidRPr="008B262B" w:rsidRDefault="00FF3873" w:rsidP="00FF3873">
      <w:pPr>
        <w:pStyle w:val="Odstavecseseznamem"/>
        <w:numPr>
          <w:ilvl w:val="0"/>
          <w:numId w:val="1"/>
        </w:numPr>
      </w:pPr>
      <w:r w:rsidRPr="008B262B">
        <w:rPr>
          <w:szCs w:val="20"/>
        </w:rPr>
        <w:t xml:space="preserve">nahlášení zájmu administrátorce projektů </w:t>
      </w:r>
      <w:proofErr w:type="gramStart"/>
      <w:r w:rsidRPr="008B262B">
        <w:rPr>
          <w:szCs w:val="20"/>
        </w:rPr>
        <w:t xml:space="preserve">FSI  </w:t>
      </w:r>
      <w:r w:rsidRPr="008B262B">
        <w:rPr>
          <w:szCs w:val="20"/>
        </w:rPr>
        <w:tab/>
      </w:r>
      <w:proofErr w:type="gramEnd"/>
      <w:r w:rsidR="00012C52">
        <w:rPr>
          <w:b/>
        </w:rPr>
        <w:t>20</w:t>
      </w:r>
      <w:r w:rsidRPr="008B262B">
        <w:rPr>
          <w:b/>
        </w:rPr>
        <w:t xml:space="preserve">. </w:t>
      </w:r>
      <w:r w:rsidR="004C7D3B">
        <w:rPr>
          <w:b/>
        </w:rPr>
        <w:t>3</w:t>
      </w:r>
      <w:r w:rsidRPr="008B262B">
        <w:rPr>
          <w:b/>
        </w:rPr>
        <w:t>. 202</w:t>
      </w:r>
      <w:r w:rsidR="00806836">
        <w:rPr>
          <w:b/>
        </w:rPr>
        <w:t>4</w:t>
      </w:r>
    </w:p>
    <w:p w14:paraId="5033CC43" w14:textId="7B33B77F" w:rsidR="00FF3873" w:rsidRPr="008B262B" w:rsidRDefault="00FF3873" w:rsidP="00FF3873">
      <w:pPr>
        <w:pStyle w:val="Odstavecseseznamem"/>
        <w:numPr>
          <w:ilvl w:val="0"/>
          <w:numId w:val="1"/>
        </w:numPr>
      </w:pPr>
      <w:r w:rsidRPr="008B262B">
        <w:t>posílání návrhů ke schválení v </w:t>
      </w:r>
      <w:proofErr w:type="gramStart"/>
      <w:r w:rsidRPr="008B262B">
        <w:t xml:space="preserve">Apollu  </w:t>
      </w:r>
      <w:r w:rsidRPr="008B262B">
        <w:tab/>
      </w:r>
      <w:proofErr w:type="gramEnd"/>
      <w:r w:rsidRPr="008B262B">
        <w:tab/>
      </w:r>
      <w:r w:rsidR="00012C52">
        <w:rPr>
          <w:b/>
          <w:bCs/>
        </w:rPr>
        <w:t>27</w:t>
      </w:r>
      <w:r w:rsidRPr="00A639EE">
        <w:rPr>
          <w:b/>
          <w:bCs/>
        </w:rPr>
        <w:t>.</w:t>
      </w:r>
      <w:r w:rsidRPr="008B262B">
        <w:rPr>
          <w:b/>
        </w:rPr>
        <w:t xml:space="preserve"> </w:t>
      </w:r>
      <w:r w:rsidR="004C7D3B">
        <w:rPr>
          <w:b/>
        </w:rPr>
        <w:t>3</w:t>
      </w:r>
      <w:r w:rsidRPr="008B262B">
        <w:rPr>
          <w:b/>
        </w:rPr>
        <w:t>. 202</w:t>
      </w:r>
      <w:r w:rsidR="00806836">
        <w:rPr>
          <w:b/>
        </w:rPr>
        <w:t>4</w:t>
      </w:r>
    </w:p>
    <w:p w14:paraId="288F6B36" w14:textId="13754816" w:rsidR="00FF3873" w:rsidRDefault="00FF3873" w:rsidP="00FF3873"/>
    <w:p w14:paraId="155B20E1" w14:textId="55424977" w:rsidR="006F13F5" w:rsidRPr="006F13F5" w:rsidRDefault="004C7D3B" w:rsidP="00FF3873">
      <w:pPr>
        <w:rPr>
          <w:b/>
          <w:bCs/>
          <w:color w:val="2F5496" w:themeColor="accent5" w:themeShade="BF"/>
          <w:sz w:val="24"/>
          <w:szCs w:val="24"/>
          <w:u w:val="single"/>
        </w:rPr>
      </w:pPr>
      <w:bookmarkStart w:id="1" w:name="_Hlk97547445"/>
      <w:r w:rsidRPr="006F13F5">
        <w:rPr>
          <w:b/>
          <w:bCs/>
          <w:color w:val="2F5496" w:themeColor="accent5" w:themeShade="BF"/>
          <w:sz w:val="24"/>
          <w:szCs w:val="24"/>
          <w:u w:val="single"/>
        </w:rPr>
        <w:t>Důležité</w:t>
      </w:r>
      <w:r w:rsidR="006F13F5" w:rsidRPr="006F13F5">
        <w:rPr>
          <w:b/>
          <w:bCs/>
          <w:color w:val="2F5496" w:themeColor="accent5" w:themeShade="BF"/>
          <w:sz w:val="24"/>
          <w:szCs w:val="24"/>
          <w:u w:val="single"/>
        </w:rPr>
        <w:t xml:space="preserve"> poznámky</w:t>
      </w:r>
      <w:r w:rsidR="006F13F5">
        <w:rPr>
          <w:b/>
          <w:bCs/>
          <w:color w:val="2F5496" w:themeColor="accent5" w:themeShade="BF"/>
          <w:sz w:val="24"/>
          <w:szCs w:val="24"/>
          <w:u w:val="single"/>
        </w:rPr>
        <w:t xml:space="preserve"> k podávání na FSI</w:t>
      </w:r>
    </w:p>
    <w:p w14:paraId="24A0C949" w14:textId="77777777" w:rsidR="002001A2" w:rsidRPr="002001A2" w:rsidRDefault="00FF3873" w:rsidP="002001A2">
      <w:pPr>
        <w:pStyle w:val="Odstavecseseznamem"/>
        <w:numPr>
          <w:ilvl w:val="0"/>
          <w:numId w:val="1"/>
        </w:numPr>
        <w:ind w:left="709" w:hanging="357"/>
        <w:contextualSpacing w:val="0"/>
        <w:jc w:val="both"/>
        <w:rPr>
          <w:b/>
          <w:color w:val="FF0000"/>
        </w:rPr>
      </w:pPr>
      <w:bookmarkStart w:id="2" w:name="_Hlk127529465"/>
      <w:r>
        <w:t xml:space="preserve">do Apolla zadává projekty </w:t>
      </w:r>
      <w:r w:rsidR="00012C52">
        <w:t xml:space="preserve">    </w:t>
      </w:r>
      <w:r w:rsidR="00012C52" w:rsidRPr="002001A2">
        <w:rPr>
          <w:b/>
          <w:color w:val="FF0000"/>
        </w:rPr>
        <w:t>Ing. Vykypělová, vykypelova@fme.vutbr.cz, klapka 4981</w:t>
      </w:r>
      <w:r w:rsidR="002001A2" w:rsidRPr="002001A2">
        <w:rPr>
          <w:b/>
          <w:bCs/>
          <w:color w:val="FF0000"/>
        </w:rPr>
        <w:t xml:space="preserve"> </w:t>
      </w:r>
    </w:p>
    <w:p w14:paraId="6B019193" w14:textId="18A68B9C" w:rsidR="00012C52" w:rsidRPr="002001A2" w:rsidRDefault="002001A2" w:rsidP="002001A2">
      <w:pPr>
        <w:pStyle w:val="Odstavecseseznamem"/>
        <w:ind w:left="2833"/>
        <w:contextualSpacing w:val="0"/>
        <w:jc w:val="both"/>
        <w:rPr>
          <w:color w:val="FF0000"/>
        </w:rPr>
      </w:pPr>
      <w:r>
        <w:t xml:space="preserve">         </w:t>
      </w:r>
      <w:r w:rsidRPr="002001A2">
        <w:rPr>
          <w:bCs/>
          <w:color w:val="FF0000"/>
        </w:rPr>
        <w:t>Mgr. Lipenská,</w:t>
      </w:r>
      <w:r w:rsidRPr="002001A2">
        <w:rPr>
          <w:color w:val="FF0000"/>
        </w:rPr>
        <w:t xml:space="preserve"> lipenska@fme.vutbr.cz, klapka 2167</w:t>
      </w:r>
    </w:p>
    <w:bookmarkEnd w:id="2"/>
    <w:p w14:paraId="0DFDB402" w14:textId="65CEAFC1" w:rsidR="00FF3873" w:rsidRPr="00FF3873" w:rsidRDefault="00012C52" w:rsidP="008B262B">
      <w:pPr>
        <w:pStyle w:val="Odstavecseseznamem"/>
        <w:numPr>
          <w:ilvl w:val="0"/>
          <w:numId w:val="1"/>
        </w:numPr>
        <w:ind w:left="714" w:hanging="357"/>
        <w:contextualSpacing w:val="0"/>
        <w:jc w:val="both"/>
      </w:pPr>
      <w:r>
        <w:t xml:space="preserve">konečný návrh projektu zasílají </w:t>
      </w:r>
      <w:r w:rsidR="00FF3873">
        <w:t xml:space="preserve">datovou schránkou </w:t>
      </w:r>
      <w:bookmarkStart w:id="3" w:name="_Hlk127529016"/>
      <w:r>
        <w:rPr>
          <w:b/>
          <w:bCs/>
        </w:rPr>
        <w:t>Ing. Vykypělová</w:t>
      </w:r>
      <w:r w:rsidR="00297AC0">
        <w:rPr>
          <w:b/>
          <w:bCs/>
        </w:rPr>
        <w:t>/</w:t>
      </w:r>
      <w:r w:rsidR="00297AC0" w:rsidRPr="00297AC0">
        <w:rPr>
          <w:b/>
          <w:bCs/>
        </w:rPr>
        <w:t xml:space="preserve"> </w:t>
      </w:r>
      <w:r w:rsidR="00297AC0" w:rsidRPr="00FF3873">
        <w:rPr>
          <w:b/>
          <w:bCs/>
        </w:rPr>
        <w:t>Mgr. Lipenská</w:t>
      </w:r>
      <w:bookmarkEnd w:id="3"/>
    </w:p>
    <w:p w14:paraId="60B4D688" w14:textId="5F3E8758" w:rsidR="00FF3873" w:rsidRDefault="00FF3873" w:rsidP="008B262B">
      <w:pPr>
        <w:pStyle w:val="Odstavecseseznamem"/>
        <w:numPr>
          <w:ilvl w:val="0"/>
          <w:numId w:val="1"/>
        </w:numPr>
        <w:ind w:left="714" w:hanging="357"/>
        <w:contextualSpacing w:val="0"/>
        <w:jc w:val="both"/>
      </w:pPr>
      <w:r w:rsidRPr="006F13F5">
        <w:t>ke schválení v Apollu bude potřeba</w:t>
      </w:r>
      <w:r w:rsidR="00500BD2">
        <w:rPr>
          <w:b/>
          <w:bCs/>
        </w:rPr>
        <w:t>:</w:t>
      </w:r>
    </w:p>
    <w:p w14:paraId="622C76DE" w14:textId="52AB5E61" w:rsidR="00500BD2" w:rsidRPr="007C69F4" w:rsidRDefault="00500BD2" w:rsidP="00004561">
      <w:pPr>
        <w:pStyle w:val="Odstavecseseznamem"/>
        <w:numPr>
          <w:ilvl w:val="0"/>
          <w:numId w:val="11"/>
        </w:numPr>
        <w:shd w:val="clear" w:color="auto" w:fill="FFFFFF"/>
        <w:spacing w:after="0" w:line="276" w:lineRule="atLeast"/>
        <w:ind w:left="1134"/>
        <w:rPr>
          <w:rFonts w:eastAsia="Times New Roman" w:cstheme="minorHAnsi"/>
          <w:color w:val="000000"/>
          <w:lang w:eastAsia="cs-CZ"/>
        </w:rPr>
      </w:pPr>
      <w:r w:rsidRPr="007C69F4">
        <w:rPr>
          <w:rFonts w:eastAsia="Times New Roman" w:cstheme="minorHAnsi"/>
          <w:color w:val="000000"/>
          <w:lang w:eastAsia="cs-CZ"/>
        </w:rPr>
        <w:t>Název projektu</w:t>
      </w:r>
    </w:p>
    <w:p w14:paraId="5ED91F41" w14:textId="1350925F" w:rsidR="00500BD2" w:rsidRPr="007C69F4" w:rsidRDefault="00500BD2" w:rsidP="00004561">
      <w:pPr>
        <w:pStyle w:val="Odstavecseseznamem"/>
        <w:numPr>
          <w:ilvl w:val="0"/>
          <w:numId w:val="11"/>
        </w:numPr>
        <w:shd w:val="clear" w:color="auto" w:fill="FFFFFF"/>
        <w:spacing w:after="0" w:line="276" w:lineRule="atLeast"/>
        <w:ind w:left="1134"/>
        <w:rPr>
          <w:rFonts w:eastAsia="Times New Roman" w:cstheme="minorHAnsi"/>
          <w:color w:val="000000"/>
          <w:lang w:eastAsia="cs-CZ"/>
        </w:rPr>
      </w:pPr>
      <w:r w:rsidRPr="007C69F4">
        <w:rPr>
          <w:rFonts w:eastAsia="Times New Roman" w:cstheme="minorHAnsi"/>
          <w:color w:val="000000"/>
          <w:lang w:eastAsia="cs-CZ"/>
        </w:rPr>
        <w:t>Důvěrnost údajů</w:t>
      </w:r>
    </w:p>
    <w:p w14:paraId="4A90DD13" w14:textId="150C05E7" w:rsidR="00500BD2" w:rsidRPr="007C69F4" w:rsidRDefault="00500BD2" w:rsidP="00004561">
      <w:pPr>
        <w:pStyle w:val="Odstavecseseznamem"/>
        <w:numPr>
          <w:ilvl w:val="0"/>
          <w:numId w:val="11"/>
        </w:numPr>
        <w:shd w:val="clear" w:color="auto" w:fill="FFFFFF"/>
        <w:spacing w:after="0" w:line="276" w:lineRule="atLeast"/>
        <w:ind w:left="1134"/>
        <w:rPr>
          <w:rFonts w:eastAsia="Times New Roman" w:cstheme="minorHAnsi"/>
          <w:color w:val="000000"/>
          <w:lang w:eastAsia="cs-CZ"/>
        </w:rPr>
      </w:pPr>
      <w:r w:rsidRPr="007C69F4">
        <w:rPr>
          <w:rFonts w:eastAsia="Times New Roman" w:cstheme="minorHAnsi"/>
          <w:color w:val="000000"/>
          <w:lang w:eastAsia="cs-CZ"/>
        </w:rPr>
        <w:t>Hlavní řešitelé, spoluřešitelé a organizace</w:t>
      </w:r>
    </w:p>
    <w:p w14:paraId="27043021" w14:textId="6A12EF58" w:rsidR="00500BD2" w:rsidRPr="009A68E0" w:rsidRDefault="00500BD2" w:rsidP="009A68E0">
      <w:pPr>
        <w:pStyle w:val="Odstavecseseznamem"/>
        <w:numPr>
          <w:ilvl w:val="0"/>
          <w:numId w:val="11"/>
        </w:numPr>
        <w:shd w:val="clear" w:color="auto" w:fill="FFFFFF"/>
        <w:spacing w:after="0" w:line="276" w:lineRule="atLeast"/>
        <w:ind w:left="1134"/>
        <w:rPr>
          <w:rFonts w:eastAsia="Times New Roman" w:cstheme="minorHAnsi"/>
          <w:color w:val="000000"/>
          <w:lang w:eastAsia="cs-CZ"/>
        </w:rPr>
      </w:pPr>
      <w:r w:rsidRPr="007C69F4">
        <w:rPr>
          <w:rFonts w:eastAsia="Times New Roman" w:cstheme="minorHAnsi"/>
          <w:color w:val="000000"/>
          <w:lang w:eastAsia="cs-CZ"/>
        </w:rPr>
        <w:t>Abstrakt</w:t>
      </w:r>
      <w:r w:rsidR="009A68E0">
        <w:rPr>
          <w:rFonts w:eastAsia="Times New Roman" w:cstheme="minorHAnsi"/>
          <w:color w:val="000000"/>
          <w:lang w:eastAsia="cs-CZ"/>
        </w:rPr>
        <w:t xml:space="preserve">/ </w:t>
      </w:r>
      <w:r w:rsidRPr="009A68E0">
        <w:rPr>
          <w:rFonts w:eastAsia="Times New Roman" w:cstheme="minorHAnsi"/>
          <w:color w:val="000000"/>
          <w:lang w:eastAsia="cs-CZ"/>
        </w:rPr>
        <w:t>Cíle</w:t>
      </w:r>
    </w:p>
    <w:p w14:paraId="66B716F6" w14:textId="0EA395C9" w:rsidR="00500BD2" w:rsidRPr="007C69F4" w:rsidRDefault="00500BD2" w:rsidP="00004561">
      <w:pPr>
        <w:pStyle w:val="Odstavecseseznamem"/>
        <w:numPr>
          <w:ilvl w:val="0"/>
          <w:numId w:val="11"/>
        </w:numPr>
        <w:shd w:val="clear" w:color="auto" w:fill="FFFFFF"/>
        <w:spacing w:after="0" w:line="276" w:lineRule="atLeast"/>
        <w:ind w:left="1134"/>
        <w:rPr>
          <w:rFonts w:eastAsia="Times New Roman" w:cstheme="minorHAnsi"/>
          <w:color w:val="000000"/>
          <w:lang w:eastAsia="cs-CZ"/>
        </w:rPr>
      </w:pPr>
      <w:r w:rsidRPr="007C69F4">
        <w:rPr>
          <w:rFonts w:eastAsia="Times New Roman" w:cstheme="minorHAnsi"/>
          <w:color w:val="000000"/>
          <w:lang w:eastAsia="cs-CZ"/>
        </w:rPr>
        <w:t>Klíčová slova</w:t>
      </w:r>
    </w:p>
    <w:p w14:paraId="18F8C552" w14:textId="1A09260E" w:rsidR="00500BD2" w:rsidRPr="007C69F4" w:rsidRDefault="00500BD2" w:rsidP="00004561">
      <w:pPr>
        <w:pStyle w:val="Odstavecseseznamem"/>
        <w:numPr>
          <w:ilvl w:val="0"/>
          <w:numId w:val="11"/>
        </w:numPr>
        <w:shd w:val="clear" w:color="auto" w:fill="FFFFFF"/>
        <w:spacing w:after="0" w:line="276" w:lineRule="atLeast"/>
        <w:ind w:left="1134"/>
        <w:rPr>
          <w:rFonts w:eastAsia="Times New Roman" w:cstheme="minorHAnsi"/>
          <w:color w:val="000000"/>
          <w:lang w:eastAsia="cs-CZ"/>
        </w:rPr>
      </w:pPr>
      <w:r w:rsidRPr="007C69F4">
        <w:rPr>
          <w:rFonts w:eastAsia="Times New Roman" w:cstheme="minorHAnsi"/>
          <w:color w:val="000000"/>
          <w:lang w:eastAsia="cs-CZ"/>
        </w:rPr>
        <w:t>Označení projektu / Registrační číslo</w:t>
      </w:r>
    </w:p>
    <w:p w14:paraId="1AB68820" w14:textId="51766C9D" w:rsidR="00500BD2" w:rsidRPr="007C69F4" w:rsidRDefault="00500BD2" w:rsidP="00004561">
      <w:pPr>
        <w:pStyle w:val="Odstavecseseznamem"/>
        <w:numPr>
          <w:ilvl w:val="0"/>
          <w:numId w:val="11"/>
        </w:numPr>
        <w:shd w:val="clear" w:color="auto" w:fill="FFFFFF"/>
        <w:spacing w:after="0" w:line="276" w:lineRule="atLeast"/>
        <w:ind w:left="1134"/>
        <w:rPr>
          <w:rFonts w:eastAsia="Times New Roman" w:cstheme="minorHAnsi"/>
          <w:color w:val="000000"/>
          <w:lang w:eastAsia="cs-CZ"/>
        </w:rPr>
      </w:pPr>
      <w:r w:rsidRPr="007C69F4">
        <w:rPr>
          <w:rFonts w:eastAsia="Times New Roman" w:cstheme="minorHAnsi"/>
          <w:color w:val="000000"/>
          <w:lang w:eastAsia="cs-CZ"/>
        </w:rPr>
        <w:t>Období realizace projektu</w:t>
      </w:r>
      <w:r w:rsidR="009A68E0">
        <w:rPr>
          <w:rFonts w:eastAsia="Times New Roman" w:cstheme="minorHAnsi"/>
          <w:color w:val="000000"/>
          <w:lang w:eastAsia="cs-CZ"/>
        </w:rPr>
        <w:t xml:space="preserve"> (do  -do)</w:t>
      </w:r>
    </w:p>
    <w:p w14:paraId="6790E2FA" w14:textId="2B21685A" w:rsidR="00500BD2" w:rsidRPr="007C69F4" w:rsidRDefault="00500BD2" w:rsidP="00004561">
      <w:pPr>
        <w:pStyle w:val="Odstavecseseznamem"/>
        <w:numPr>
          <w:ilvl w:val="0"/>
          <w:numId w:val="11"/>
        </w:numPr>
        <w:shd w:val="clear" w:color="auto" w:fill="FFFFFF"/>
        <w:spacing w:after="0" w:line="276" w:lineRule="atLeast"/>
        <w:ind w:left="1134"/>
        <w:rPr>
          <w:rFonts w:eastAsia="Times New Roman" w:cstheme="minorHAnsi"/>
          <w:color w:val="000000"/>
          <w:lang w:eastAsia="cs-CZ"/>
        </w:rPr>
      </w:pPr>
      <w:r w:rsidRPr="007C69F4">
        <w:rPr>
          <w:rFonts w:eastAsia="Times New Roman" w:cstheme="minorHAnsi"/>
          <w:color w:val="000000"/>
          <w:lang w:eastAsia="cs-CZ"/>
        </w:rPr>
        <w:t>Obory CEP</w:t>
      </w:r>
      <w:r w:rsidR="009A68E0">
        <w:rPr>
          <w:rFonts w:eastAsia="Times New Roman" w:cstheme="minorHAnsi"/>
          <w:color w:val="000000"/>
          <w:lang w:eastAsia="cs-CZ"/>
        </w:rPr>
        <w:t xml:space="preserve"> (alespoň jeden)</w:t>
      </w:r>
    </w:p>
    <w:p w14:paraId="3C60893B" w14:textId="17E93CFD" w:rsidR="00500BD2" w:rsidRPr="007C69F4" w:rsidRDefault="00500BD2" w:rsidP="00004561">
      <w:pPr>
        <w:pStyle w:val="Odstavecseseznamem"/>
        <w:numPr>
          <w:ilvl w:val="0"/>
          <w:numId w:val="11"/>
        </w:numPr>
        <w:shd w:val="clear" w:color="auto" w:fill="FFFFFF"/>
        <w:spacing w:after="0" w:line="276" w:lineRule="atLeast"/>
        <w:ind w:left="1134"/>
        <w:rPr>
          <w:rFonts w:eastAsia="Times New Roman" w:cstheme="minorHAnsi"/>
          <w:color w:val="000000"/>
          <w:lang w:eastAsia="cs-CZ"/>
        </w:rPr>
      </w:pPr>
      <w:r w:rsidRPr="007C69F4">
        <w:rPr>
          <w:rFonts w:eastAsia="Times New Roman" w:cstheme="minorHAnsi"/>
          <w:color w:val="000000"/>
          <w:lang w:eastAsia="cs-CZ"/>
        </w:rPr>
        <w:t>Rozložení rozpočtu pro VUT a ostatní partnery podle let a u VUT také dle zdrojů financování (veřejné x neveřejné) + režie, mzdy</w:t>
      </w:r>
      <w:r w:rsidR="001D7150">
        <w:rPr>
          <w:rFonts w:eastAsia="Times New Roman" w:cstheme="minorHAnsi"/>
          <w:color w:val="000000"/>
          <w:lang w:eastAsia="cs-CZ"/>
        </w:rPr>
        <w:t xml:space="preserve"> a odvody</w:t>
      </w:r>
      <w:r w:rsidR="009A68E0">
        <w:rPr>
          <w:rFonts w:eastAsia="Times New Roman" w:cstheme="minorHAnsi"/>
          <w:color w:val="000000"/>
          <w:lang w:eastAsia="cs-CZ"/>
        </w:rPr>
        <w:t xml:space="preserve"> - </w:t>
      </w:r>
      <w:r w:rsidR="009A68E0">
        <w:rPr>
          <w:color w:val="000000"/>
          <w:shd w:val="clear" w:color="auto" w:fill="FFFFFF"/>
        </w:rPr>
        <w:t>zde je ne</w:t>
      </w:r>
      <w:r w:rsidR="001D7150">
        <w:rPr>
          <w:color w:val="000000"/>
          <w:shd w:val="clear" w:color="auto" w:fill="FFFFFF"/>
        </w:rPr>
        <w:t>j</w:t>
      </w:r>
      <w:r w:rsidR="009A68E0">
        <w:rPr>
          <w:color w:val="000000"/>
          <w:shd w:val="clear" w:color="auto" w:fill="FFFFFF"/>
        </w:rPr>
        <w:t xml:space="preserve">lepší poslat </w:t>
      </w:r>
      <w:proofErr w:type="spellStart"/>
      <w:r w:rsidR="009A68E0">
        <w:rPr>
          <w:color w:val="000000"/>
          <w:shd w:val="clear" w:color="auto" w:fill="FFFFFF"/>
        </w:rPr>
        <w:t>pdf</w:t>
      </w:r>
      <w:proofErr w:type="spellEnd"/>
      <w:r w:rsidR="009A68E0">
        <w:rPr>
          <w:color w:val="000000"/>
          <w:shd w:val="clear" w:color="auto" w:fill="FFFFFF"/>
        </w:rPr>
        <w:t xml:space="preserve"> přímo z </w:t>
      </w:r>
      <w:proofErr w:type="spellStart"/>
      <w:r w:rsidR="009A68E0">
        <w:rPr>
          <w:color w:val="000000"/>
          <w:shd w:val="clear" w:color="auto" w:fill="FFFFFF"/>
        </w:rPr>
        <w:t>GRISu</w:t>
      </w:r>
      <w:proofErr w:type="spellEnd"/>
    </w:p>
    <w:p w14:paraId="2B08A772" w14:textId="3BF80B43" w:rsidR="006F13F5" w:rsidRDefault="006F13F5" w:rsidP="006F13F5"/>
    <w:p w14:paraId="35D4D0D3" w14:textId="69D56F01" w:rsidR="006F13F5" w:rsidRDefault="006F13F5" w:rsidP="006F13F5">
      <w:r w:rsidRPr="002001A2">
        <w:rPr>
          <w:b/>
        </w:rPr>
        <w:t xml:space="preserve">Níže najdete </w:t>
      </w:r>
      <w:r w:rsidR="00FC443D" w:rsidRPr="002001A2">
        <w:rPr>
          <w:b/>
        </w:rPr>
        <w:t>V</w:t>
      </w:r>
      <w:r w:rsidRPr="002001A2">
        <w:rPr>
          <w:b/>
        </w:rPr>
        <w:t>ýtah ze zadávací dokumentace</w:t>
      </w:r>
      <w:r>
        <w:t>.</w:t>
      </w:r>
    </w:p>
    <w:p w14:paraId="02542BE9" w14:textId="69486AB1" w:rsidR="006F13F5" w:rsidRDefault="006C7FFD" w:rsidP="006F13F5">
      <w:bookmarkStart w:id="4" w:name="_Hlk127529200"/>
      <w:bookmarkEnd w:id="1"/>
      <w:r>
        <w:t xml:space="preserve">GAČR také vydal </w:t>
      </w:r>
      <w:proofErr w:type="spellStart"/>
      <w:proofErr w:type="gramStart"/>
      <w:r w:rsidR="00297AC0" w:rsidRPr="00297AC0">
        <w:rPr>
          <w:b/>
          <w:color w:val="C00000"/>
        </w:rPr>
        <w:t>Checklist</w:t>
      </w:r>
      <w:proofErr w:type="spellEnd"/>
      <w:r w:rsidR="00AE7EC4" w:rsidRPr="00297AC0">
        <w:rPr>
          <w:b/>
          <w:color w:val="C00000"/>
        </w:rPr>
        <w:t xml:space="preserve"> </w:t>
      </w:r>
      <w:r w:rsidRPr="00297AC0">
        <w:rPr>
          <w:b/>
          <w:color w:val="C00000"/>
        </w:rPr>
        <w:t xml:space="preserve"> „</w:t>
      </w:r>
      <w:proofErr w:type="gramEnd"/>
      <w:r w:rsidRPr="00297AC0">
        <w:rPr>
          <w:b/>
          <w:color w:val="C00000"/>
        </w:rPr>
        <w:t>Na co nezapomenout“</w:t>
      </w:r>
      <w:r w:rsidR="00297AC0">
        <w:t xml:space="preserve"> a prezentaci s </w:t>
      </w:r>
      <w:r w:rsidR="00297AC0" w:rsidRPr="00297AC0">
        <w:rPr>
          <w:b/>
          <w:color w:val="C00000"/>
        </w:rPr>
        <w:t>Praktic</w:t>
      </w:r>
      <w:r w:rsidR="0083488E">
        <w:rPr>
          <w:b/>
          <w:color w:val="C00000"/>
        </w:rPr>
        <w:t>k</w:t>
      </w:r>
      <w:r w:rsidR="00297AC0" w:rsidRPr="00297AC0">
        <w:rPr>
          <w:b/>
          <w:color w:val="C00000"/>
        </w:rPr>
        <w:t>ými informacemi</w:t>
      </w:r>
      <w:r w:rsidR="00297AC0">
        <w:rPr>
          <w:b/>
        </w:rPr>
        <w:t xml:space="preserve">, </w:t>
      </w:r>
      <w:r w:rsidR="00297AC0">
        <w:t xml:space="preserve">vše na stránkách výzvy </w:t>
      </w:r>
      <w:hyperlink r:id="rId7" w:history="1">
        <w:r w:rsidR="00297AC0" w:rsidRPr="00297AC0">
          <w:rPr>
            <w:rStyle w:val="Hypertextovodkaz"/>
          </w:rPr>
          <w:t>ZDE</w:t>
        </w:r>
        <w:r w:rsidR="0043310B" w:rsidRPr="00297AC0">
          <w:rPr>
            <w:rStyle w:val="Hypertextovodkaz"/>
          </w:rPr>
          <w:t xml:space="preserve"> </w:t>
        </w:r>
      </w:hyperlink>
      <w:r w:rsidR="00AE7EC4">
        <w:t xml:space="preserve"> -</w:t>
      </w:r>
      <w:r w:rsidR="0043310B">
        <w:t xml:space="preserve">   </w:t>
      </w:r>
      <w:r w:rsidR="00AE7EC4">
        <w:t xml:space="preserve"> Před odesláním návrhu projektu doporučujeme provést důkladnou kontrolu</w:t>
      </w:r>
      <w:r w:rsidR="00CA441D">
        <w:t>.</w:t>
      </w:r>
    </w:p>
    <w:p w14:paraId="18E328BC" w14:textId="439EBA2A" w:rsidR="006F13F5" w:rsidRDefault="002001A2" w:rsidP="006F13F5">
      <w:r w:rsidRPr="00297AC0">
        <w:rPr>
          <w:color w:val="C00000"/>
        </w:rPr>
        <w:t>FAQ</w:t>
      </w:r>
      <w:r>
        <w:t xml:space="preserve"> k údajům v návrzích projektů - </w:t>
      </w:r>
      <w:hyperlink r:id="rId8" w:history="1">
        <w:r w:rsidRPr="002001A2">
          <w:rPr>
            <w:rStyle w:val="Hypertextovodkaz"/>
          </w:rPr>
          <w:t>ZDE</w:t>
        </w:r>
      </w:hyperlink>
    </w:p>
    <w:bookmarkEnd w:id="4"/>
    <w:p w14:paraId="27D4CD5A" w14:textId="1A31F433" w:rsidR="00480427" w:rsidRDefault="00480427" w:rsidP="006F13F5"/>
    <w:p w14:paraId="09721196" w14:textId="77777777" w:rsidR="00806836" w:rsidRDefault="00806836" w:rsidP="006F13F5"/>
    <w:bookmarkEnd w:id="0"/>
    <w:p w14:paraId="2064AF96" w14:textId="55D33579" w:rsidR="006F13F5" w:rsidRPr="007C1E70" w:rsidRDefault="006F13F5" w:rsidP="006F13F5">
      <w:pPr>
        <w:rPr>
          <w:b/>
          <w:bCs/>
          <w:sz w:val="24"/>
          <w:szCs w:val="24"/>
          <w:u w:val="single"/>
        </w:rPr>
      </w:pPr>
      <w:r w:rsidRPr="007C1E70">
        <w:rPr>
          <w:b/>
          <w:bCs/>
          <w:sz w:val="24"/>
          <w:szCs w:val="24"/>
          <w:u w:val="single"/>
        </w:rPr>
        <w:lastRenderedPageBreak/>
        <w:t>Výtah ze Zadávací dokumentace</w:t>
      </w:r>
    </w:p>
    <w:p w14:paraId="417D01F6" w14:textId="01B241A2" w:rsidR="006F13F5" w:rsidRDefault="006F13F5" w:rsidP="006F13F5">
      <w:pPr>
        <w:rPr>
          <w:b/>
          <w:bCs/>
          <w:color w:val="2F5496" w:themeColor="accent5" w:themeShade="BF"/>
          <w:sz w:val="24"/>
          <w:szCs w:val="24"/>
        </w:rPr>
      </w:pPr>
      <w:r w:rsidRPr="006F13F5">
        <w:rPr>
          <w:b/>
          <w:bCs/>
          <w:color w:val="2F5496" w:themeColor="accent5" w:themeShade="BF"/>
          <w:sz w:val="24"/>
          <w:szCs w:val="24"/>
        </w:rPr>
        <w:t xml:space="preserve">Základní </w:t>
      </w:r>
      <w:proofErr w:type="spellStart"/>
      <w:r w:rsidRPr="006F13F5">
        <w:rPr>
          <w:b/>
          <w:bCs/>
          <w:color w:val="2F5496" w:themeColor="accent5" w:themeShade="BF"/>
          <w:sz w:val="24"/>
          <w:szCs w:val="24"/>
        </w:rPr>
        <w:t>info</w:t>
      </w:r>
      <w:proofErr w:type="spellEnd"/>
      <w:r w:rsidRPr="006F13F5">
        <w:rPr>
          <w:b/>
          <w:bCs/>
          <w:color w:val="2F5496" w:themeColor="accent5" w:themeShade="BF"/>
          <w:sz w:val="24"/>
          <w:szCs w:val="24"/>
        </w:rPr>
        <w:t>:</w:t>
      </w:r>
    </w:p>
    <w:p w14:paraId="2E975CDD" w14:textId="2E26DE2D" w:rsidR="00480427" w:rsidRPr="00480427" w:rsidRDefault="00480427" w:rsidP="00480427">
      <w:pPr>
        <w:pStyle w:val="Odstavecseseznamem"/>
        <w:ind w:left="284"/>
        <w:jc w:val="both"/>
        <w:rPr>
          <w:b/>
        </w:rPr>
      </w:pPr>
      <w:r w:rsidRPr="00480427">
        <w:rPr>
          <w:b/>
        </w:rPr>
        <w:t xml:space="preserve">Zahájení </w:t>
      </w:r>
      <w:proofErr w:type="gramStart"/>
      <w:r w:rsidRPr="00480427">
        <w:rPr>
          <w:b/>
        </w:rPr>
        <w:t>projektu :</w:t>
      </w:r>
      <w:proofErr w:type="gramEnd"/>
      <w:r w:rsidRPr="00480427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80427">
        <w:rPr>
          <w:b/>
        </w:rPr>
        <w:t>1.</w:t>
      </w:r>
      <w:r>
        <w:rPr>
          <w:b/>
        </w:rPr>
        <w:t xml:space="preserve"> </w:t>
      </w:r>
      <w:r w:rsidRPr="00480427">
        <w:rPr>
          <w:b/>
        </w:rPr>
        <w:t>1.</w:t>
      </w:r>
      <w:r>
        <w:rPr>
          <w:b/>
        </w:rPr>
        <w:t xml:space="preserve"> </w:t>
      </w:r>
      <w:r w:rsidRPr="00480427">
        <w:rPr>
          <w:b/>
        </w:rPr>
        <w:t>202</w:t>
      </w:r>
      <w:r w:rsidR="00806836">
        <w:rPr>
          <w:b/>
        </w:rPr>
        <w:t>5</w:t>
      </w:r>
    </w:p>
    <w:p w14:paraId="7FD244F3" w14:textId="614ACFA8" w:rsidR="00480427" w:rsidRDefault="00480427" w:rsidP="00480427">
      <w:pPr>
        <w:pStyle w:val="Odstavecseseznamem"/>
        <w:ind w:left="284"/>
        <w:jc w:val="both"/>
        <w:rPr>
          <w:b/>
        </w:rPr>
      </w:pPr>
      <w:r w:rsidRPr="00480427">
        <w:rPr>
          <w:b/>
        </w:rPr>
        <w:t xml:space="preserve">Délka trvání projektu: </w:t>
      </w:r>
      <w:r>
        <w:rPr>
          <w:b/>
        </w:rPr>
        <w:tab/>
      </w:r>
      <w:proofErr w:type="gramStart"/>
      <w:r w:rsidRPr="00480427">
        <w:rPr>
          <w:b/>
        </w:rPr>
        <w:t>2 – 3</w:t>
      </w:r>
      <w:proofErr w:type="gramEnd"/>
      <w:r w:rsidRPr="00480427">
        <w:rPr>
          <w:b/>
        </w:rPr>
        <w:t xml:space="preserve"> roky</w:t>
      </w:r>
    </w:p>
    <w:p w14:paraId="487AA266" w14:textId="77777777" w:rsidR="00480427" w:rsidRPr="00480427" w:rsidRDefault="00480427" w:rsidP="00480427">
      <w:pPr>
        <w:pStyle w:val="Odstavecseseznamem"/>
        <w:ind w:left="0"/>
        <w:jc w:val="both"/>
        <w:rPr>
          <w:b/>
        </w:rPr>
      </w:pPr>
    </w:p>
    <w:p w14:paraId="51131B91" w14:textId="3F6D2D20" w:rsidR="003949AF" w:rsidRPr="002001A2" w:rsidRDefault="006F13F5" w:rsidP="008B262B">
      <w:pPr>
        <w:pStyle w:val="Odstavecseseznamem"/>
        <w:numPr>
          <w:ilvl w:val="0"/>
          <w:numId w:val="2"/>
        </w:numPr>
        <w:spacing w:line="240" w:lineRule="auto"/>
        <w:ind w:hanging="357"/>
        <w:contextualSpacing w:val="0"/>
        <w:jc w:val="both"/>
        <w:rPr>
          <w:bCs/>
        </w:rPr>
      </w:pPr>
      <w:r w:rsidRPr="002001A2">
        <w:rPr>
          <w:bCs/>
        </w:rPr>
        <w:t xml:space="preserve">Návrh projektu se vyplňuje v elektronickém </w:t>
      </w:r>
      <w:r w:rsidRPr="002001A2">
        <w:rPr>
          <w:b/>
        </w:rPr>
        <w:t>systému GRIS</w:t>
      </w:r>
      <w:r w:rsidRPr="002001A2">
        <w:rPr>
          <w:bCs/>
        </w:rPr>
        <w:t xml:space="preserve"> (odkaz </w:t>
      </w:r>
      <w:hyperlink r:id="rId9" w:history="1">
        <w:r w:rsidRPr="002001A2">
          <w:rPr>
            <w:rStyle w:val="Hypertextovodkaz"/>
            <w:bCs/>
          </w:rPr>
          <w:t>ZDE</w:t>
        </w:r>
      </w:hyperlink>
      <w:r w:rsidRPr="002001A2">
        <w:rPr>
          <w:bCs/>
        </w:rPr>
        <w:t>)</w:t>
      </w:r>
      <w:r w:rsidR="003949AF" w:rsidRPr="002001A2">
        <w:rPr>
          <w:bCs/>
        </w:rPr>
        <w:t xml:space="preserve"> + přílohou je také </w:t>
      </w:r>
      <w:r w:rsidR="003949AF" w:rsidRPr="002001A2">
        <w:rPr>
          <w:b/>
        </w:rPr>
        <w:t>Zdůvodnění návrhu projektu</w:t>
      </w:r>
      <w:r w:rsidR="007C1E70" w:rsidRPr="002001A2">
        <w:rPr>
          <w:b/>
        </w:rPr>
        <w:t xml:space="preserve"> a životopis</w:t>
      </w:r>
      <w:r w:rsidR="003949AF" w:rsidRPr="002001A2">
        <w:rPr>
          <w:bCs/>
        </w:rPr>
        <w:t xml:space="preserve">, </w:t>
      </w:r>
      <w:r w:rsidR="007C1E70" w:rsidRPr="002001A2">
        <w:rPr>
          <w:bCs/>
        </w:rPr>
        <w:t xml:space="preserve">podrobnosti </w:t>
      </w:r>
      <w:r w:rsidR="003949AF" w:rsidRPr="002001A2">
        <w:rPr>
          <w:bCs/>
        </w:rPr>
        <w:t>viz níže</w:t>
      </w:r>
      <w:r w:rsidRPr="002001A2">
        <w:rPr>
          <w:bCs/>
        </w:rPr>
        <w:t xml:space="preserve">; </w:t>
      </w:r>
    </w:p>
    <w:p w14:paraId="24C9DB3E" w14:textId="32D347FF" w:rsidR="006F13F5" w:rsidRDefault="006F13F5" w:rsidP="008B262B">
      <w:pPr>
        <w:pStyle w:val="Odstavecseseznamem"/>
        <w:numPr>
          <w:ilvl w:val="0"/>
          <w:numId w:val="2"/>
        </w:numPr>
        <w:spacing w:line="240" w:lineRule="auto"/>
        <w:ind w:hanging="357"/>
        <w:contextualSpacing w:val="0"/>
        <w:jc w:val="both"/>
        <w:rPr>
          <w:bCs/>
        </w:rPr>
      </w:pPr>
      <w:r>
        <w:rPr>
          <w:bCs/>
        </w:rPr>
        <w:t xml:space="preserve">konečný návrh projektu se konvertuje do PDF </w:t>
      </w:r>
      <w:r w:rsidRPr="00806836">
        <w:rPr>
          <w:bCs/>
          <w:u w:val="single"/>
        </w:rPr>
        <w:t>a v nezměněné podobě a s nezměněným názvem</w:t>
      </w:r>
      <w:r>
        <w:rPr>
          <w:bCs/>
        </w:rPr>
        <w:t xml:space="preserve"> se zasílá datovou schránkou (zašlete </w:t>
      </w:r>
      <w:r w:rsidR="002001A2">
        <w:rPr>
          <w:bCs/>
        </w:rPr>
        <w:t xml:space="preserve">Ing. </w:t>
      </w:r>
      <w:proofErr w:type="spellStart"/>
      <w:r w:rsidR="002001A2">
        <w:rPr>
          <w:bCs/>
        </w:rPr>
        <w:t>Vykypělové</w:t>
      </w:r>
      <w:proofErr w:type="spellEnd"/>
      <w:r w:rsidR="002001A2">
        <w:rPr>
          <w:bCs/>
        </w:rPr>
        <w:t xml:space="preserve">/ </w:t>
      </w:r>
      <w:r>
        <w:rPr>
          <w:bCs/>
        </w:rPr>
        <w:t>Mgr.</w:t>
      </w:r>
      <w:r w:rsidR="007C1E70">
        <w:rPr>
          <w:bCs/>
        </w:rPr>
        <w:t xml:space="preserve"> </w:t>
      </w:r>
      <w:r w:rsidR="00AE7EC4">
        <w:rPr>
          <w:bCs/>
        </w:rPr>
        <w:t>Lipenské,</w:t>
      </w:r>
      <w:r>
        <w:rPr>
          <w:bCs/>
        </w:rPr>
        <w:t xml:space="preserve"> pokud je VUT hlavním uchazečem)</w:t>
      </w:r>
    </w:p>
    <w:p w14:paraId="61F65622" w14:textId="2D07D94C" w:rsidR="006F13F5" w:rsidRDefault="006F13F5" w:rsidP="008B262B">
      <w:pPr>
        <w:pStyle w:val="Odstavecseseznamem"/>
        <w:numPr>
          <w:ilvl w:val="0"/>
          <w:numId w:val="2"/>
        </w:numPr>
        <w:spacing w:line="240" w:lineRule="auto"/>
        <w:ind w:hanging="357"/>
        <w:contextualSpacing w:val="0"/>
        <w:jc w:val="both"/>
        <w:rPr>
          <w:bCs/>
          <w:color w:val="FF0000"/>
        </w:rPr>
      </w:pPr>
      <w:r>
        <w:rPr>
          <w:bCs/>
        </w:rPr>
        <w:t>způsobilost (tj. čestné prohlášení za VUT) zasílá rektorát</w:t>
      </w:r>
      <w:r w:rsidR="00AF5C6F">
        <w:rPr>
          <w:bCs/>
        </w:rPr>
        <w:t xml:space="preserve"> </w:t>
      </w:r>
    </w:p>
    <w:p w14:paraId="0EC347C4" w14:textId="1C3EBEE3" w:rsidR="00AE7EC4" w:rsidRPr="00AF5C6F" w:rsidRDefault="00AE7EC4" w:rsidP="008B262B">
      <w:pPr>
        <w:pStyle w:val="Odstavecseseznamem"/>
        <w:numPr>
          <w:ilvl w:val="0"/>
          <w:numId w:val="2"/>
        </w:numPr>
        <w:spacing w:line="240" w:lineRule="auto"/>
        <w:ind w:hanging="357"/>
        <w:contextualSpacing w:val="0"/>
        <w:jc w:val="both"/>
        <w:rPr>
          <w:bCs/>
          <w:color w:val="FF0000"/>
        </w:rPr>
      </w:pPr>
      <w:r>
        <w:t xml:space="preserve">Výsledek hodnocení návrhu projektu panelem najdete po </w:t>
      </w:r>
      <w:r w:rsidR="002001A2">
        <w:t xml:space="preserve">vyhlášení výsledků </w:t>
      </w:r>
      <w:r>
        <w:t>soutěže v detailu projektu (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), jednotlivé posudky pak v záložce „Project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Results</w:t>
      </w:r>
      <w:proofErr w:type="spellEnd"/>
      <w:r>
        <w:t>“.</w:t>
      </w:r>
    </w:p>
    <w:p w14:paraId="5F2CB032" w14:textId="6CC234CE" w:rsidR="006F13F5" w:rsidRPr="00480427" w:rsidRDefault="006F13F5" w:rsidP="008B262B">
      <w:pPr>
        <w:pStyle w:val="Odstavecseseznamem"/>
        <w:numPr>
          <w:ilvl w:val="0"/>
          <w:numId w:val="2"/>
        </w:numPr>
        <w:spacing w:line="240" w:lineRule="auto"/>
        <w:ind w:hanging="357"/>
        <w:contextualSpacing w:val="0"/>
        <w:jc w:val="both"/>
        <w:rPr>
          <w:b/>
        </w:rPr>
      </w:pPr>
      <w:r>
        <w:rPr>
          <w:bCs/>
        </w:rPr>
        <w:t xml:space="preserve">jde o </w:t>
      </w:r>
      <w:r w:rsidRPr="00480427">
        <w:rPr>
          <w:b/>
        </w:rPr>
        <w:t>základní výzkum</w:t>
      </w:r>
    </w:p>
    <w:p w14:paraId="001F4DAD" w14:textId="682160A5" w:rsidR="006F13F5" w:rsidRDefault="00480427" w:rsidP="002D2AF7">
      <w:pPr>
        <w:pStyle w:val="Odstavecseseznamem"/>
        <w:numPr>
          <w:ilvl w:val="0"/>
          <w:numId w:val="3"/>
        </w:numPr>
        <w:spacing w:line="240" w:lineRule="auto"/>
        <w:jc w:val="both"/>
        <w:rPr>
          <w:bCs/>
        </w:rPr>
      </w:pPr>
      <w:r>
        <w:rPr>
          <w:bCs/>
        </w:rPr>
        <w:t xml:space="preserve">SOUBĚH </w:t>
      </w:r>
      <w:proofErr w:type="gramStart"/>
      <w:r>
        <w:rPr>
          <w:bCs/>
        </w:rPr>
        <w:t xml:space="preserve">NÁVRHŮ - </w:t>
      </w:r>
      <w:r w:rsidR="006F13F5">
        <w:rPr>
          <w:bCs/>
        </w:rPr>
        <w:t>Navrhovatel</w:t>
      </w:r>
      <w:proofErr w:type="gramEnd"/>
      <w:r w:rsidR="006F13F5">
        <w:rPr>
          <w:bCs/>
        </w:rPr>
        <w:t xml:space="preserve"> (budoucí řešitel)</w:t>
      </w:r>
      <w:r>
        <w:rPr>
          <w:bCs/>
        </w:rPr>
        <w:t xml:space="preserve">, tedy osoba navrhovatele může podat </w:t>
      </w:r>
      <w:r w:rsidRPr="00480427">
        <w:rPr>
          <w:b/>
        </w:rPr>
        <w:t>maximálně dva projekty s počátkem řešení v r.</w:t>
      </w:r>
      <w:r>
        <w:rPr>
          <w:b/>
        </w:rPr>
        <w:t xml:space="preserve"> </w:t>
      </w:r>
      <w:r w:rsidRPr="00480427">
        <w:rPr>
          <w:b/>
        </w:rPr>
        <w:t>202</w:t>
      </w:r>
      <w:r w:rsidR="00806836">
        <w:rPr>
          <w:b/>
        </w:rPr>
        <w:t>5</w:t>
      </w:r>
      <w:r>
        <w:rPr>
          <w:bCs/>
        </w:rPr>
        <w:t xml:space="preserve"> (v rámci soutěží Standardních, mezinárodních a Lead Agency projektů), </w:t>
      </w:r>
      <w:r w:rsidRPr="00480427">
        <w:rPr>
          <w:bCs/>
        </w:rPr>
        <w:t xml:space="preserve">a to </w:t>
      </w:r>
      <w:r w:rsidRPr="00480427">
        <w:rPr>
          <w:b/>
        </w:rPr>
        <w:t>jeden v roli navrhovatele a druhý v roli spolunavrhovatele</w:t>
      </w:r>
      <w:r w:rsidR="002D2AF7">
        <w:rPr>
          <w:b/>
        </w:rPr>
        <w:t xml:space="preserve">; </w:t>
      </w:r>
      <w:r w:rsidR="002D2AF7" w:rsidRPr="002D2AF7">
        <w:rPr>
          <w:bCs/>
        </w:rPr>
        <w:t xml:space="preserve">(Výjimku tvoří </w:t>
      </w:r>
      <w:r w:rsidR="000A7ECC">
        <w:rPr>
          <w:bCs/>
        </w:rPr>
        <w:t>3</w:t>
      </w:r>
      <w:r w:rsidR="002D2AF7" w:rsidRPr="002D2AF7">
        <w:rPr>
          <w:bCs/>
        </w:rPr>
        <w:t xml:space="preserve"> veřejné soutěže: JUNIOR STAR, POSTDOC INDIVIDUAL F</w:t>
      </w:r>
      <w:r w:rsidR="00A430B9">
        <w:rPr>
          <w:bCs/>
        </w:rPr>
        <w:t>ELLOWSHIP (INCOMING i OUTGOING),</w:t>
      </w:r>
      <w:r w:rsidR="002D2AF7" w:rsidRPr="002D2AF7">
        <w:rPr>
          <w:bCs/>
        </w:rPr>
        <w:t xml:space="preserve"> do kterých si navrhovatel může podat návrh nezávisle na ostatních soutěžích a výzvách. To znamená, že osoba, která si podá návrh projektu JUNIOR STAR nebo POSTDOC INDIVIDUAL FELLOWSHIP, si může podat ještě nejvýše dva další návrhy projektů, a to jeden v roli navrhovatele a druhý v roli spolunavrhovatele.)</w:t>
      </w:r>
    </w:p>
    <w:p w14:paraId="2A5C9F8B" w14:textId="77777777" w:rsidR="002D2AF7" w:rsidRPr="002D2AF7" w:rsidRDefault="002D2AF7" w:rsidP="002D2AF7">
      <w:pPr>
        <w:pStyle w:val="Odstavecseseznamem"/>
        <w:spacing w:line="240" w:lineRule="auto"/>
        <w:ind w:left="1440"/>
        <w:jc w:val="both"/>
        <w:rPr>
          <w:bCs/>
        </w:rPr>
      </w:pPr>
    </w:p>
    <w:p w14:paraId="32CEA3E3" w14:textId="5840F4E3" w:rsidR="00A430B9" w:rsidRPr="00A430B9" w:rsidRDefault="00A430B9" w:rsidP="00925D05">
      <w:pPr>
        <w:pStyle w:val="Odstavecseseznamem"/>
        <w:numPr>
          <w:ilvl w:val="0"/>
          <w:numId w:val="3"/>
        </w:numPr>
        <w:spacing w:line="240" w:lineRule="auto"/>
        <w:ind w:left="709" w:hanging="357"/>
        <w:contextualSpacing w:val="0"/>
        <w:jc w:val="both"/>
        <w:rPr>
          <w:b/>
          <w:bCs/>
          <w:color w:val="2F5496" w:themeColor="accent5" w:themeShade="BF"/>
          <w:sz w:val="24"/>
          <w:szCs w:val="24"/>
        </w:rPr>
      </w:pPr>
      <w:r w:rsidRPr="00A430B9">
        <w:rPr>
          <w:bCs/>
        </w:rPr>
        <w:t>Celý návrh projektu se vyplňuje</w:t>
      </w:r>
      <w:r w:rsidR="00480427" w:rsidRPr="00A430B9">
        <w:rPr>
          <w:bCs/>
        </w:rPr>
        <w:t xml:space="preserve"> v</w:t>
      </w:r>
      <w:r w:rsidR="002001A2">
        <w:rPr>
          <w:bCs/>
        </w:rPr>
        <w:t> </w:t>
      </w:r>
      <w:r w:rsidR="00480427" w:rsidRPr="00A430B9">
        <w:rPr>
          <w:bCs/>
          <w:color w:val="FF0000"/>
        </w:rPr>
        <w:t>angličtině</w:t>
      </w:r>
      <w:r w:rsidR="002001A2">
        <w:rPr>
          <w:bCs/>
        </w:rPr>
        <w:t>, pokud u konkrétních polí v GRIS není uvedeno jinak</w:t>
      </w:r>
    </w:p>
    <w:p w14:paraId="3C71F888" w14:textId="77777777" w:rsidR="00A430B9" w:rsidRDefault="00A430B9" w:rsidP="00A430B9">
      <w:pPr>
        <w:pStyle w:val="Odstavecseseznamem"/>
      </w:pPr>
    </w:p>
    <w:p w14:paraId="62B5155B" w14:textId="77777777" w:rsidR="00A430B9" w:rsidRPr="00A430B9" w:rsidRDefault="00A430B9" w:rsidP="00925D05">
      <w:pPr>
        <w:pStyle w:val="Odstavecseseznamem"/>
        <w:numPr>
          <w:ilvl w:val="0"/>
          <w:numId w:val="3"/>
        </w:numPr>
        <w:spacing w:line="240" w:lineRule="auto"/>
        <w:ind w:left="709" w:hanging="357"/>
        <w:contextualSpacing w:val="0"/>
        <w:jc w:val="both"/>
        <w:rPr>
          <w:b/>
          <w:bCs/>
          <w:color w:val="2F5496" w:themeColor="accent5" w:themeShade="BF"/>
          <w:sz w:val="24"/>
          <w:szCs w:val="24"/>
        </w:rPr>
      </w:pPr>
      <w:r w:rsidRPr="00A430B9">
        <w:rPr>
          <w:b/>
        </w:rPr>
        <w:t>Veškeré lhůty se prodlužují o období přerušení kariéry</w:t>
      </w:r>
      <w:r>
        <w:t xml:space="preserve"> (zejména z důvodu mateřské a rodičovské dovolené, dlouhodobé nemoci nebo jiných závažných pracovních překážek, např. dlouhodobé péče o rodinného příslušníka / blízkou osobu).</w:t>
      </w:r>
    </w:p>
    <w:p w14:paraId="58013C64" w14:textId="77777777" w:rsidR="00A430B9" w:rsidRPr="00A430B9" w:rsidRDefault="00A430B9" w:rsidP="00A430B9">
      <w:pPr>
        <w:pStyle w:val="Odstavecseseznamem"/>
        <w:rPr>
          <w:b/>
          <w:bCs/>
          <w:color w:val="2F5496" w:themeColor="accent5" w:themeShade="BF"/>
          <w:sz w:val="24"/>
          <w:szCs w:val="24"/>
        </w:rPr>
      </w:pPr>
    </w:p>
    <w:p w14:paraId="329FF9CA" w14:textId="77777777" w:rsidR="00A430B9" w:rsidRPr="00A430B9" w:rsidRDefault="00A430B9" w:rsidP="00A430B9">
      <w:pPr>
        <w:pStyle w:val="Odstavecseseznamem"/>
        <w:rPr>
          <w:b/>
          <w:bCs/>
          <w:color w:val="2F5496" w:themeColor="accent5" w:themeShade="BF"/>
          <w:sz w:val="24"/>
          <w:szCs w:val="24"/>
        </w:rPr>
      </w:pPr>
    </w:p>
    <w:p w14:paraId="59BEB24B" w14:textId="2AB55292" w:rsidR="00480427" w:rsidRPr="00A430B9" w:rsidRDefault="003949AF" w:rsidP="00A430B9">
      <w:pPr>
        <w:spacing w:line="240" w:lineRule="auto"/>
        <w:jc w:val="both"/>
        <w:rPr>
          <w:b/>
          <w:bCs/>
          <w:color w:val="2F5496" w:themeColor="accent5" w:themeShade="BF"/>
          <w:sz w:val="24"/>
          <w:szCs w:val="24"/>
        </w:rPr>
      </w:pPr>
      <w:r w:rsidRPr="00A430B9">
        <w:rPr>
          <w:b/>
          <w:bCs/>
          <w:color w:val="2F5496" w:themeColor="accent5" w:themeShade="BF"/>
          <w:sz w:val="24"/>
          <w:szCs w:val="24"/>
        </w:rPr>
        <w:t>Finance:</w:t>
      </w:r>
    </w:p>
    <w:p w14:paraId="2A6550BD" w14:textId="65044171" w:rsidR="007C1E70" w:rsidRPr="007C1E70" w:rsidRDefault="007C1E70" w:rsidP="007C1E70">
      <w:pPr>
        <w:pStyle w:val="Odstavecseseznamem"/>
        <w:numPr>
          <w:ilvl w:val="0"/>
          <w:numId w:val="10"/>
        </w:numPr>
      </w:pPr>
      <w:r w:rsidRPr="007C1E70">
        <w:t xml:space="preserve">není určena minimální a maximální </w:t>
      </w:r>
      <w:r>
        <w:t>výše rozpočtu na projekt</w:t>
      </w:r>
      <w:r w:rsidRPr="007C1E70">
        <w:t xml:space="preserve"> </w:t>
      </w:r>
    </w:p>
    <w:p w14:paraId="190857D8" w14:textId="77777777" w:rsidR="003949AF" w:rsidRDefault="003949AF" w:rsidP="00480427">
      <w:pPr>
        <w:rPr>
          <w:b/>
        </w:rPr>
      </w:pPr>
      <w:r>
        <w:rPr>
          <w:b/>
        </w:rPr>
        <w:t xml:space="preserve">Způsobilé náklady: </w:t>
      </w:r>
    </w:p>
    <w:p w14:paraId="06617CF1" w14:textId="5F621B91" w:rsidR="003949AF" w:rsidRPr="003949AF" w:rsidRDefault="003949AF" w:rsidP="008B262B">
      <w:pPr>
        <w:pStyle w:val="Odstavecseseznamem"/>
        <w:numPr>
          <w:ilvl w:val="0"/>
          <w:numId w:val="7"/>
        </w:numPr>
        <w:spacing w:before="240" w:after="0" w:line="240" w:lineRule="auto"/>
        <w:ind w:left="714" w:hanging="357"/>
        <w:contextualSpacing w:val="0"/>
        <w:jc w:val="both"/>
        <w:rPr>
          <w:b/>
        </w:rPr>
      </w:pPr>
      <w:r w:rsidRPr="005C47A9">
        <w:rPr>
          <w:u w:val="single"/>
        </w:rPr>
        <w:t>osobní náklady</w:t>
      </w:r>
      <w:r>
        <w:t xml:space="preserve"> – nelze nulová pracovní kapacita (úvazek); doporučeno minimálně 0,2 průměrného ročního úvazku pro osobu navrhovatele a 0,1 pro osobu spolunavrhovatele; </w:t>
      </w:r>
      <w:r w:rsidR="005C47A9">
        <w:t xml:space="preserve">součet všech pracovních úvazků na řešení všech projektů GA ČR nesmí u žádného zaměstnance přesáhnout 1,00; GAČR hradí </w:t>
      </w:r>
      <w:r w:rsidR="005C47A9" w:rsidRPr="00B66E77">
        <w:t xml:space="preserve">nejvýše </w:t>
      </w:r>
      <w:r w:rsidR="005C47A9" w:rsidRPr="00B66E77">
        <w:rPr>
          <w:b/>
          <w:bCs/>
        </w:rPr>
        <w:t>6</w:t>
      </w:r>
      <w:r w:rsidR="00170316" w:rsidRPr="00B66E77">
        <w:rPr>
          <w:b/>
          <w:bCs/>
        </w:rPr>
        <w:t>5</w:t>
      </w:r>
      <w:r w:rsidR="005C47A9" w:rsidRPr="00B66E77">
        <w:rPr>
          <w:b/>
          <w:bCs/>
        </w:rPr>
        <w:t xml:space="preserve"> tis. Kč</w:t>
      </w:r>
      <w:r w:rsidR="001E1DF0" w:rsidRPr="00B66E77">
        <w:t xml:space="preserve"> (hrubého)</w:t>
      </w:r>
      <w:r w:rsidR="005C47A9">
        <w:t xml:space="preserve"> za kalendářní měsíc na zaměstnance (alikvotně dle úvazku), u dohod nejvýše </w:t>
      </w:r>
      <w:r w:rsidR="005C47A9" w:rsidRPr="008B262B">
        <w:rPr>
          <w:b/>
          <w:bCs/>
        </w:rPr>
        <w:t>400 Kč/hod</w:t>
      </w:r>
      <w:r w:rsidR="00441F95">
        <w:t>; v GRIS se vyplňují u osob hrubé mzdy a samostatně je nutné do jiné tabulky dopočítat k nim odvody (</w:t>
      </w:r>
      <w:r w:rsidR="00441F95" w:rsidRPr="004F20F8">
        <w:rPr>
          <w:color w:val="C00000"/>
        </w:rPr>
        <w:t>35,</w:t>
      </w:r>
      <w:r w:rsidR="009478EC">
        <w:rPr>
          <w:color w:val="C00000"/>
        </w:rPr>
        <w:t>2</w:t>
      </w:r>
      <w:r w:rsidR="00441F95" w:rsidRPr="004F20F8">
        <w:rPr>
          <w:color w:val="C00000"/>
        </w:rPr>
        <w:t>2</w:t>
      </w:r>
      <w:r w:rsidR="00572E00">
        <w:rPr>
          <w:color w:val="C00000"/>
        </w:rPr>
        <w:t xml:space="preserve"> </w:t>
      </w:r>
      <w:r w:rsidR="00441F95" w:rsidRPr="004F20F8">
        <w:rPr>
          <w:color w:val="C00000"/>
        </w:rPr>
        <w:t>% z hrubé mzdy</w:t>
      </w:r>
      <w:r w:rsidR="00441F95">
        <w:t>)</w:t>
      </w:r>
    </w:p>
    <w:p w14:paraId="6E4B8FD5" w14:textId="4AA4016D" w:rsidR="003949AF" w:rsidRDefault="003949AF" w:rsidP="008B262B">
      <w:pPr>
        <w:pStyle w:val="Odstavecseseznamem"/>
        <w:numPr>
          <w:ilvl w:val="0"/>
          <w:numId w:val="7"/>
        </w:numPr>
        <w:spacing w:before="240" w:after="0" w:line="240" w:lineRule="auto"/>
        <w:ind w:left="714" w:hanging="357"/>
        <w:contextualSpacing w:val="0"/>
        <w:jc w:val="both"/>
      </w:pPr>
      <w:r w:rsidRPr="005C47A9">
        <w:rPr>
          <w:u w:val="single"/>
        </w:rPr>
        <w:lastRenderedPageBreak/>
        <w:t>investiční náklady</w:t>
      </w:r>
      <w:r w:rsidR="005C47A9">
        <w:t xml:space="preserve"> – </w:t>
      </w:r>
      <w:bookmarkStart w:id="5" w:name="_Hlk65004143"/>
      <w:r w:rsidR="008B262B">
        <w:t xml:space="preserve">patří sem jak nakoupení celé investice, tak odpisy; jde o hmotný majetek, cena vyšší než 80 tis. Kč a provozně-technická funkce delší než jeden rok; maximálně však           </w:t>
      </w:r>
      <w:r w:rsidR="008B262B" w:rsidRPr="008B262B">
        <w:rPr>
          <w:b/>
          <w:bCs/>
        </w:rPr>
        <w:t>10 % z dotace</w:t>
      </w:r>
      <w:r w:rsidR="008B262B">
        <w:t xml:space="preserve"> (bez režijních nákladů), náklady se počítají alikvotně podle míry využití a délky životnosti takového majetku</w:t>
      </w:r>
      <w:bookmarkEnd w:id="5"/>
    </w:p>
    <w:p w14:paraId="1B432E56" w14:textId="3C900A65" w:rsidR="005C47A9" w:rsidRPr="000C7E72" w:rsidRDefault="005C47A9" w:rsidP="008B262B">
      <w:pPr>
        <w:pStyle w:val="Odstavecseseznamem"/>
        <w:numPr>
          <w:ilvl w:val="0"/>
          <w:numId w:val="7"/>
        </w:numPr>
        <w:spacing w:before="240" w:after="0" w:line="240" w:lineRule="auto"/>
        <w:ind w:left="714" w:hanging="357"/>
        <w:contextualSpacing w:val="0"/>
        <w:jc w:val="both"/>
        <w:rPr>
          <w:color w:val="FF0000"/>
        </w:rPr>
      </w:pPr>
      <w:r w:rsidRPr="0091571B">
        <w:rPr>
          <w:u w:val="single"/>
        </w:rPr>
        <w:t>věcné náklady</w:t>
      </w:r>
      <w:r>
        <w:t xml:space="preserve"> - materiální náklady, cestovné</w:t>
      </w:r>
      <w:r w:rsidR="008B262B">
        <w:t xml:space="preserve"> (konference jen v případě aktivní účasti)</w:t>
      </w:r>
      <w:r>
        <w:t>, ostatní služby a nemateriální náklady, také pořízení nehmotného majetku, doplňkové (režijní) náklady</w:t>
      </w:r>
      <w:r w:rsidR="00E80B32">
        <w:t xml:space="preserve">; </w:t>
      </w:r>
      <w:r w:rsidR="00B00FC2" w:rsidRPr="004C533D">
        <w:t>M</w:t>
      </w:r>
      <w:r w:rsidR="00E80B32" w:rsidRPr="004C533D">
        <w:t>ezi náklady na ostatní služby lze zahrnout náklady na publikování výsledků formou Open Access, náklady na správu výzkumných dat a vytvoření Data Management Plan</w:t>
      </w:r>
    </w:p>
    <w:p w14:paraId="02ACBAC9" w14:textId="77777777" w:rsidR="0091571B" w:rsidRDefault="0091571B" w:rsidP="008B262B">
      <w:pPr>
        <w:pStyle w:val="Odstavecseseznamem"/>
        <w:jc w:val="both"/>
      </w:pPr>
    </w:p>
    <w:p w14:paraId="1A237DDD" w14:textId="28DBFE59" w:rsidR="003949AF" w:rsidRDefault="0091571B" w:rsidP="008B262B">
      <w:pPr>
        <w:pStyle w:val="Odstavecseseznamem"/>
        <w:numPr>
          <w:ilvl w:val="0"/>
          <w:numId w:val="8"/>
        </w:numPr>
        <w:jc w:val="both"/>
      </w:pPr>
      <w:r w:rsidRPr="007C1E70">
        <w:rPr>
          <w:b/>
          <w:bCs/>
        </w:rPr>
        <w:t>REŽIE</w:t>
      </w:r>
      <w:r w:rsidRPr="007C1E70">
        <w:t xml:space="preserve">  - </w:t>
      </w:r>
      <w:r w:rsidRPr="008B262B">
        <w:rPr>
          <w:b/>
          <w:bCs/>
          <w:color w:val="C00000"/>
        </w:rPr>
        <w:t>20</w:t>
      </w:r>
      <w:r w:rsidR="008B262B" w:rsidRPr="008B262B">
        <w:rPr>
          <w:b/>
          <w:bCs/>
          <w:color w:val="C00000"/>
        </w:rPr>
        <w:t xml:space="preserve"> </w:t>
      </w:r>
      <w:r w:rsidRPr="008B262B">
        <w:rPr>
          <w:b/>
          <w:bCs/>
          <w:color w:val="C00000"/>
        </w:rPr>
        <w:t xml:space="preserve">% </w:t>
      </w:r>
      <w:r w:rsidRPr="007C1E70">
        <w:rPr>
          <w:b/>
          <w:bCs/>
        </w:rPr>
        <w:t>z ostatních neinvestičních nákladů s vyloučením doplňkových (režijních) nákladů</w:t>
      </w:r>
      <w:r w:rsidRPr="007C1E70">
        <w:t>; (tj. počítáno z: osobních nákladů + materiál + ce</w:t>
      </w:r>
      <w:r w:rsidR="006B68D1">
        <w:t>s</w:t>
      </w:r>
      <w:r w:rsidRPr="007C1E70">
        <w:t>tovné + ostaní služby + nemateriální náklady)</w:t>
      </w:r>
    </w:p>
    <w:p w14:paraId="1AB96E3B" w14:textId="6A2ABDC3" w:rsidR="00772F81" w:rsidRPr="00772F81" w:rsidRDefault="00902726" w:rsidP="00772F81">
      <w:pPr>
        <w:jc w:val="both"/>
        <w:rPr>
          <w:color w:val="FF0000"/>
        </w:rPr>
      </w:pPr>
      <w:r>
        <w:rPr>
          <w:color w:val="FF0000"/>
        </w:rPr>
        <w:t>P</w:t>
      </w:r>
      <w:r w:rsidR="00772F81" w:rsidRPr="00772F81">
        <w:rPr>
          <w:color w:val="FF0000"/>
        </w:rPr>
        <w:t>řesuny finanční</w:t>
      </w:r>
      <w:r w:rsidR="000A7ECC">
        <w:rPr>
          <w:color w:val="FF0000"/>
        </w:rPr>
        <w:t>ch</w:t>
      </w:r>
      <w:r w:rsidR="00772F81" w:rsidRPr="00772F81">
        <w:rPr>
          <w:color w:val="FF0000"/>
        </w:rPr>
        <w:t xml:space="preserve"> prostředků mezi položkami základní skladby až do výše 100 000 Kč </w:t>
      </w:r>
      <w:r w:rsidR="00811857">
        <w:rPr>
          <w:color w:val="FF0000"/>
        </w:rPr>
        <w:t xml:space="preserve">je </w:t>
      </w:r>
      <w:r w:rsidR="00772F81" w:rsidRPr="00772F81">
        <w:rPr>
          <w:color w:val="FF0000"/>
        </w:rPr>
        <w:t xml:space="preserve">možné </w:t>
      </w:r>
      <w:bookmarkStart w:id="6" w:name="_Hlk127529629"/>
      <w:r w:rsidR="002001A2">
        <w:rPr>
          <w:color w:val="FF0000"/>
        </w:rPr>
        <w:t xml:space="preserve">během realizace </w:t>
      </w:r>
      <w:bookmarkEnd w:id="6"/>
      <w:r w:rsidR="00772F81" w:rsidRPr="00772F81">
        <w:rPr>
          <w:color w:val="FF0000"/>
        </w:rPr>
        <w:t>provést bez podání žádosti.</w:t>
      </w:r>
    </w:p>
    <w:p w14:paraId="2B07CC70" w14:textId="77777777" w:rsidR="0091571B" w:rsidRDefault="0091571B" w:rsidP="00480427">
      <w:pPr>
        <w:rPr>
          <w:b/>
          <w:bCs/>
          <w:color w:val="2F5496" w:themeColor="accent5" w:themeShade="BF"/>
          <w:sz w:val="24"/>
          <w:szCs w:val="24"/>
        </w:rPr>
      </w:pPr>
    </w:p>
    <w:p w14:paraId="78B0641A" w14:textId="47BDF1FA" w:rsidR="00B00FC2" w:rsidRDefault="003949AF" w:rsidP="00480427">
      <w:pPr>
        <w:rPr>
          <w:b/>
          <w:bCs/>
          <w:color w:val="2F5496" w:themeColor="accent5" w:themeShade="BF"/>
          <w:sz w:val="24"/>
          <w:szCs w:val="24"/>
        </w:rPr>
      </w:pPr>
      <w:r>
        <w:rPr>
          <w:b/>
          <w:bCs/>
          <w:color w:val="2F5496" w:themeColor="accent5" w:themeShade="BF"/>
          <w:sz w:val="24"/>
          <w:szCs w:val="24"/>
        </w:rPr>
        <w:t>Výsledky a</w:t>
      </w:r>
      <w:r w:rsidR="0091571B">
        <w:rPr>
          <w:b/>
          <w:bCs/>
          <w:color w:val="2F5496" w:themeColor="accent5" w:themeShade="BF"/>
          <w:sz w:val="24"/>
          <w:szCs w:val="24"/>
        </w:rPr>
        <w:t xml:space="preserve"> </w:t>
      </w:r>
      <w:r>
        <w:rPr>
          <w:b/>
          <w:bCs/>
          <w:color w:val="2F5496" w:themeColor="accent5" w:themeShade="BF"/>
          <w:sz w:val="24"/>
          <w:szCs w:val="24"/>
        </w:rPr>
        <w:t>výstupy projektu:</w:t>
      </w:r>
    </w:p>
    <w:p w14:paraId="317313C6" w14:textId="5CF8E766" w:rsidR="003949AF" w:rsidRPr="00B00FC2" w:rsidRDefault="003949AF" w:rsidP="008B262B">
      <w:pPr>
        <w:pStyle w:val="Odstavecseseznamem"/>
        <w:numPr>
          <w:ilvl w:val="0"/>
          <w:numId w:val="4"/>
        </w:numPr>
        <w:jc w:val="both"/>
        <w:rPr>
          <w:b/>
          <w:bCs/>
          <w:color w:val="2F5496" w:themeColor="accent5" w:themeShade="BF"/>
          <w:sz w:val="24"/>
          <w:szCs w:val="24"/>
        </w:rPr>
      </w:pPr>
      <w:r>
        <w:t xml:space="preserve">budou uznány pouze </w:t>
      </w:r>
      <w:r w:rsidRPr="003949AF">
        <w:rPr>
          <w:b/>
          <w:bCs/>
        </w:rPr>
        <w:t>články</w:t>
      </w:r>
      <w:r>
        <w:t xml:space="preserve"> v časopisech s IF (výstup typu Jimp), články v recenzovaných časopisech (výstupy typu Jsc, Jost), </w:t>
      </w:r>
      <w:r w:rsidRPr="003949AF">
        <w:rPr>
          <w:b/>
          <w:bCs/>
        </w:rPr>
        <w:t>odborné knihy</w:t>
      </w:r>
      <w:r>
        <w:t xml:space="preserve"> (výstup typu B), </w:t>
      </w:r>
      <w:r w:rsidRPr="003949AF">
        <w:rPr>
          <w:b/>
          <w:bCs/>
        </w:rPr>
        <w:t>kapitoly</w:t>
      </w:r>
      <w:r>
        <w:t xml:space="preserve"> v odborných knihách (výstup typu C) </w:t>
      </w:r>
      <w:r w:rsidRPr="003949AF">
        <w:t>a</w:t>
      </w:r>
      <w:r w:rsidRPr="003949AF">
        <w:rPr>
          <w:b/>
          <w:bCs/>
        </w:rPr>
        <w:t xml:space="preserve"> stať ve sborníku</w:t>
      </w:r>
      <w:r>
        <w:t xml:space="preserve"> evidovaném v databázi Scopus či v databázi Web of Science Conference Proceedings Citation (výstup typu D) – popis typů výsledků viz Příloha 7 zadávací dokumentace</w:t>
      </w:r>
    </w:p>
    <w:p w14:paraId="53D21D41" w14:textId="01195CA8" w:rsidR="00B00FC2" w:rsidRPr="003949AF" w:rsidRDefault="00B00FC2" w:rsidP="008B262B">
      <w:pPr>
        <w:pStyle w:val="Odstavecseseznamem"/>
        <w:numPr>
          <w:ilvl w:val="0"/>
          <w:numId w:val="4"/>
        </w:numPr>
        <w:jc w:val="both"/>
        <w:rPr>
          <w:b/>
          <w:bCs/>
          <w:color w:val="2F5496" w:themeColor="accent5" w:themeShade="BF"/>
          <w:sz w:val="24"/>
          <w:szCs w:val="24"/>
        </w:rPr>
      </w:pPr>
      <w:r>
        <w:t>vyplňuje se v angličtině</w:t>
      </w:r>
    </w:p>
    <w:p w14:paraId="471198F2" w14:textId="77777777" w:rsidR="003949AF" w:rsidRDefault="003949AF" w:rsidP="008B262B">
      <w:pPr>
        <w:jc w:val="both"/>
        <w:rPr>
          <w:b/>
          <w:bCs/>
          <w:color w:val="2F5496" w:themeColor="accent5" w:themeShade="BF"/>
          <w:sz w:val="24"/>
          <w:szCs w:val="24"/>
        </w:rPr>
      </w:pPr>
    </w:p>
    <w:p w14:paraId="650AFE31" w14:textId="1E8A7392" w:rsidR="00480427" w:rsidRPr="003949AF" w:rsidRDefault="003949AF" w:rsidP="00480427">
      <w:pPr>
        <w:rPr>
          <w:b/>
          <w:bCs/>
          <w:color w:val="2F5496" w:themeColor="accent5" w:themeShade="BF"/>
          <w:sz w:val="24"/>
          <w:szCs w:val="24"/>
        </w:rPr>
      </w:pPr>
      <w:r w:rsidRPr="003949AF">
        <w:rPr>
          <w:b/>
          <w:bCs/>
          <w:color w:val="2F5496" w:themeColor="accent5" w:themeShade="BF"/>
          <w:sz w:val="24"/>
          <w:szCs w:val="24"/>
        </w:rPr>
        <w:t>P</w:t>
      </w:r>
      <w:r>
        <w:rPr>
          <w:b/>
          <w:bCs/>
          <w:color w:val="2F5496" w:themeColor="accent5" w:themeShade="BF"/>
          <w:sz w:val="24"/>
          <w:szCs w:val="24"/>
        </w:rPr>
        <w:t>ovinné p</w:t>
      </w:r>
      <w:r w:rsidRPr="003949AF">
        <w:rPr>
          <w:b/>
          <w:bCs/>
          <w:color w:val="2F5496" w:themeColor="accent5" w:themeShade="BF"/>
          <w:sz w:val="24"/>
          <w:szCs w:val="24"/>
        </w:rPr>
        <w:t>řílohy</w:t>
      </w:r>
      <w:r>
        <w:rPr>
          <w:b/>
          <w:bCs/>
          <w:color w:val="2F5496" w:themeColor="accent5" w:themeShade="BF"/>
          <w:sz w:val="24"/>
          <w:szCs w:val="24"/>
        </w:rPr>
        <w:t>:</w:t>
      </w:r>
    </w:p>
    <w:p w14:paraId="19EBB7C4" w14:textId="77777777" w:rsidR="003949AF" w:rsidRPr="001E1DF0" w:rsidRDefault="003949AF" w:rsidP="003949AF">
      <w:pPr>
        <w:pStyle w:val="Odstavecseseznamem"/>
        <w:numPr>
          <w:ilvl w:val="0"/>
          <w:numId w:val="4"/>
        </w:numPr>
        <w:rPr>
          <w:u w:val="single"/>
        </w:rPr>
      </w:pPr>
      <w:r w:rsidRPr="001E1DF0">
        <w:rPr>
          <w:b/>
          <w:u w:val="single"/>
        </w:rPr>
        <w:t>Zdůvodnění návrhu standardního projektu:</w:t>
      </w:r>
      <w:r w:rsidRPr="001E1DF0">
        <w:rPr>
          <w:b/>
          <w:u w:val="single"/>
        </w:rPr>
        <w:cr/>
      </w:r>
    </w:p>
    <w:p w14:paraId="58643660" w14:textId="2BC42675" w:rsidR="003949AF" w:rsidRDefault="003949AF" w:rsidP="008B262B">
      <w:pPr>
        <w:pStyle w:val="Odstavecseseznamem"/>
        <w:numPr>
          <w:ilvl w:val="1"/>
          <w:numId w:val="5"/>
        </w:numPr>
        <w:ind w:hanging="357"/>
        <w:contextualSpacing w:val="0"/>
        <w:jc w:val="both"/>
      </w:pPr>
      <w:r>
        <w:t xml:space="preserve">uvádí se v </w:t>
      </w:r>
      <w:r w:rsidRPr="007C1E70">
        <w:rPr>
          <w:b/>
          <w:bCs/>
        </w:rPr>
        <w:t>anglickém jazyce</w:t>
      </w:r>
      <w:r>
        <w:t xml:space="preserve">; rozsah max. </w:t>
      </w:r>
      <w:r w:rsidRPr="007C1E70">
        <w:rPr>
          <w:b/>
          <w:bCs/>
        </w:rPr>
        <w:t>10 stran</w:t>
      </w:r>
      <w:r>
        <w:t xml:space="preserve"> formátu A4 s použitím písma o velikosti 11 bodů a řádkování 1, soubor vytvořený mimo aplikaci GRIS</w:t>
      </w:r>
      <w:r w:rsidR="002D2AF7">
        <w:t>, nahrává se</w:t>
      </w:r>
      <w:r>
        <w:t xml:space="preserve"> ve formátu PDF a o max. velikosti 6 MB</w:t>
      </w:r>
    </w:p>
    <w:p w14:paraId="34EFCE14" w14:textId="7E43AE40" w:rsidR="00E57CC2" w:rsidRPr="00E57CC2" w:rsidRDefault="003949AF" w:rsidP="0008531D">
      <w:pPr>
        <w:pStyle w:val="Odstavecseseznamem"/>
        <w:numPr>
          <w:ilvl w:val="0"/>
          <w:numId w:val="6"/>
        </w:numPr>
        <w:tabs>
          <w:tab w:val="clear" w:pos="720"/>
        </w:tabs>
        <w:ind w:left="1418" w:hanging="357"/>
        <w:contextualSpacing w:val="0"/>
        <w:jc w:val="both"/>
        <w:rPr>
          <w:color w:val="FF0000"/>
        </w:rPr>
      </w:pPr>
      <w:r w:rsidRPr="007C1E70">
        <w:rPr>
          <w:u w:val="single"/>
        </w:rPr>
        <w:t>Obsahuje</w:t>
      </w:r>
      <w:r>
        <w:t xml:space="preserve">: shrnutí současného stavu poznání v dané vědní oblasti a příspěvek navrhovatele k výzkumu v dané problematice; podstata a aktuálnost projektu, jeho cíle a způsob řešení včetně koncepčních a metodických postupů, podrobného časového rozvrhu a etap řešení. Etapy řešení a plnění jednotlivých cílů musí být spojeny s předpokládanými výsledky; v případě, kdy je to relevantní, reflektování možných dopadů na ženy a muže; </w:t>
      </w:r>
      <w:r w:rsidR="002D2AF7" w:rsidRPr="0083488E">
        <w:t>identifikace rizik dosažení výsledků včetně jejich intenzity, pravděpodobnosti a způsobu minimalizace</w:t>
      </w:r>
      <w:r w:rsidR="002D2AF7" w:rsidRPr="000945F5">
        <w:t xml:space="preserve">; </w:t>
      </w:r>
      <w:r>
        <w:t xml:space="preserve">spolupráce navrhovatele se zahraničními vědeckými institucemi; zdůvodnění nutnosti účasti případného spoluuchazeče na projektu, jeho přínosu a podrobný popis jeho podílu na řešení; údaje o připravenosti navrhovatele, spolunavrhovatelů a jejich pracovišť, o </w:t>
      </w:r>
      <w:r w:rsidR="00E57CC2">
        <w:t>přístrojovém vybavení pracovišť;</w:t>
      </w:r>
      <w:r>
        <w:t xml:space="preserve"> </w:t>
      </w:r>
      <w:r w:rsidR="00E57CC2" w:rsidRPr="00D614A0">
        <w:rPr>
          <w:color w:val="FF0000"/>
        </w:rPr>
        <w:t>odkaz na plán genderové rovnosti uchazeče</w:t>
      </w:r>
      <w:r w:rsidR="00E57CC2" w:rsidRPr="000A7ECC">
        <w:t xml:space="preserve"> </w:t>
      </w:r>
      <w:bookmarkStart w:id="7" w:name="_Hlk127529287"/>
      <w:r w:rsidR="00E57CC2" w:rsidRPr="000A7ECC">
        <w:t>(</w:t>
      </w:r>
      <w:r w:rsidR="002001A2" w:rsidRPr="002001A2">
        <w:rPr>
          <w:u w:val="single"/>
        </w:rPr>
        <w:t>do návrhu uveďte tento odkaz</w:t>
      </w:r>
      <w:r w:rsidR="002001A2">
        <w:t xml:space="preserve">: </w:t>
      </w:r>
      <w:hyperlink r:id="rId10" w:history="1">
        <w:r w:rsidR="002001A2" w:rsidRPr="000A7476">
          <w:rPr>
            <w:rStyle w:val="Hypertextovodkaz"/>
          </w:rPr>
          <w:t>https://www.vut.cz/vut/hr-award/aktuality/ep-cj-1-plan-genderove-rovnosti-vut-2022-2024-final-pdf-p218283</w:t>
        </w:r>
      </w:hyperlink>
      <w:r w:rsidR="00E57CC2" w:rsidRPr="000A7ECC">
        <w:t>)</w:t>
      </w:r>
      <w:r w:rsidR="00E12C7D">
        <w:t xml:space="preserve">; </w:t>
      </w:r>
      <w:bookmarkStart w:id="8" w:name="_Hlk127530397"/>
      <w:r w:rsidR="00E12C7D">
        <w:t xml:space="preserve">HR </w:t>
      </w:r>
      <w:proofErr w:type="spellStart"/>
      <w:r w:rsidR="00E12C7D">
        <w:t>Award</w:t>
      </w:r>
      <w:proofErr w:type="spellEnd"/>
      <w:r w:rsidR="00E12C7D">
        <w:t xml:space="preserve"> (</w:t>
      </w:r>
      <w:r w:rsidR="00416DF6" w:rsidRPr="002001A2">
        <w:rPr>
          <w:u w:val="single"/>
        </w:rPr>
        <w:t>do návrhu uveďte tento odkaz</w:t>
      </w:r>
      <w:r w:rsidR="00416DF6">
        <w:t xml:space="preserve">:  </w:t>
      </w:r>
      <w:hyperlink r:id="rId11" w:history="1">
        <w:r w:rsidR="00416DF6" w:rsidRPr="000A7476">
          <w:rPr>
            <w:rStyle w:val="Hypertextovodkaz"/>
          </w:rPr>
          <w:t>https://euraxess.ec.europa.eu/jobs/hrs4r/awarded</w:t>
        </w:r>
      </w:hyperlink>
      <w:r w:rsidR="00E12C7D">
        <w:t>)</w:t>
      </w:r>
      <w:bookmarkEnd w:id="8"/>
      <w:r w:rsidR="00404FE3">
        <w:t xml:space="preserve">  </w:t>
      </w:r>
      <w:r w:rsidR="00404FE3" w:rsidRPr="00404FE3">
        <w:rPr>
          <w:sz w:val="18"/>
          <w:szCs w:val="18"/>
        </w:rPr>
        <w:t>(V případě, že genderový plán či jiný obdobný dokument dosud nebyl přijat, musí být předložen nejpozději před uzavřením smlouvy o poskytnutí podpory, jinak nebude s uchazečem smlouva o poskytnutí podpory uzavřena)</w:t>
      </w:r>
    </w:p>
    <w:bookmarkEnd w:id="7"/>
    <w:p w14:paraId="2B544131" w14:textId="77777777" w:rsidR="000945F5" w:rsidRPr="000945F5" w:rsidRDefault="000A7ECC" w:rsidP="00364A28">
      <w:pPr>
        <w:pStyle w:val="Odstavecseseznamem"/>
        <w:numPr>
          <w:ilvl w:val="0"/>
          <w:numId w:val="6"/>
        </w:numPr>
        <w:tabs>
          <w:tab w:val="clear" w:pos="720"/>
        </w:tabs>
        <w:ind w:left="1418" w:hanging="357"/>
        <w:contextualSpacing w:val="0"/>
        <w:jc w:val="both"/>
        <w:rPr>
          <w:color w:val="FF0000"/>
        </w:rPr>
      </w:pPr>
      <w:r w:rsidRPr="00E57CC2">
        <w:rPr>
          <w:u w:val="single"/>
        </w:rPr>
        <w:t>DÁLE TAKY:</w:t>
      </w:r>
      <w:r>
        <w:t xml:space="preserve"> </w:t>
      </w:r>
      <w:r w:rsidR="003949AF">
        <w:t xml:space="preserve">popis týmu: zdůvodnění účasti všech spolunavrhovatelů, odborných, dalších odborných i dalších spolupracovníků, vymezení jejich podílu na řešení problematiky, včetně předpokládané pracovní kapacity jednotlivých pracovníků; </w:t>
      </w:r>
    </w:p>
    <w:p w14:paraId="25252672" w14:textId="77777777" w:rsidR="000945F5" w:rsidRPr="000945F5" w:rsidRDefault="003949AF" w:rsidP="00364A28">
      <w:pPr>
        <w:pStyle w:val="Odstavecseseznamem"/>
        <w:numPr>
          <w:ilvl w:val="0"/>
          <w:numId w:val="6"/>
        </w:numPr>
        <w:tabs>
          <w:tab w:val="clear" w:pos="720"/>
        </w:tabs>
        <w:ind w:left="1418" w:hanging="357"/>
        <w:contextualSpacing w:val="0"/>
        <w:jc w:val="both"/>
        <w:rPr>
          <w:color w:val="FF0000"/>
        </w:rPr>
      </w:pPr>
      <w:r>
        <w:t>odkazy na použitou literaturu</w:t>
      </w:r>
      <w:r w:rsidR="0008531D">
        <w:t>;</w:t>
      </w:r>
      <w:r w:rsidR="000A7ECC">
        <w:t xml:space="preserve"> </w:t>
      </w:r>
    </w:p>
    <w:p w14:paraId="5D34FC9C" w14:textId="6236C9B2" w:rsidR="000945F5" w:rsidRPr="00404FE3" w:rsidRDefault="0008531D" w:rsidP="00404FE3">
      <w:pPr>
        <w:pStyle w:val="Odstavecseseznamem"/>
        <w:numPr>
          <w:ilvl w:val="0"/>
          <w:numId w:val="6"/>
        </w:numPr>
        <w:tabs>
          <w:tab w:val="clear" w:pos="720"/>
        </w:tabs>
        <w:ind w:left="1418" w:hanging="357"/>
        <w:contextualSpacing w:val="0"/>
        <w:jc w:val="both"/>
        <w:rPr>
          <w:color w:val="FF0000"/>
        </w:rPr>
      </w:pPr>
      <w:r w:rsidRPr="002001A2">
        <w:t>stručný popis dat, která</w:t>
      </w:r>
      <w:r w:rsidR="00E57CC2" w:rsidRPr="002001A2">
        <w:t xml:space="preserve"> budou v průběhu řešení využitá</w:t>
      </w:r>
      <w:r w:rsidRPr="002001A2">
        <w:t xml:space="preserve"> </w:t>
      </w:r>
      <w:r w:rsidR="00E57CC2" w:rsidRPr="002001A2">
        <w:t xml:space="preserve">nebo </w:t>
      </w:r>
      <w:r w:rsidRPr="002001A2">
        <w:t>v rámci projektu vzniknou, a způsobů nakládání s nimi</w:t>
      </w:r>
      <w:r w:rsidRPr="000A7ECC">
        <w:t xml:space="preserve">; </w:t>
      </w:r>
      <w:r w:rsidR="000945F5">
        <w:t xml:space="preserve">především informace o dostupnosti a způsobu šíření výsledků výzkumu a výzkumných dat v souladu se zásadou, že výsledky výzkumu a výzkumná data nejsou zveřejňovány pouze v odůvodněných případech (aktualizace se předkládá s každou dílčí zprávou a závěrečnou zprávou); </w:t>
      </w:r>
      <w:r w:rsidR="000945F5" w:rsidRPr="000945F5">
        <w:rPr>
          <w:highlight w:val="yellow"/>
        </w:rPr>
        <w:t>příjemce se zavazuje nejpozději k datu doručení první dílčí zprávy předložit plán pro správu výzkumných dat (</w:t>
      </w:r>
      <w:r w:rsidR="000945F5" w:rsidRPr="00D918D4">
        <w:rPr>
          <w:b/>
          <w:highlight w:val="yellow"/>
        </w:rPr>
        <w:t xml:space="preserve">Data Management </w:t>
      </w:r>
      <w:proofErr w:type="spellStart"/>
      <w:r w:rsidR="000945F5" w:rsidRPr="00D918D4">
        <w:rPr>
          <w:b/>
          <w:highlight w:val="yellow"/>
        </w:rPr>
        <w:t>Plan</w:t>
      </w:r>
      <w:proofErr w:type="spellEnd"/>
      <w:r w:rsidR="000945F5" w:rsidRPr="00D918D4">
        <w:rPr>
          <w:b/>
          <w:highlight w:val="yellow"/>
        </w:rPr>
        <w:t xml:space="preserve"> – DMP</w:t>
      </w:r>
      <w:r w:rsidR="000945F5" w:rsidRPr="000945F5">
        <w:rPr>
          <w:highlight w:val="yellow"/>
        </w:rPr>
        <w:t>) a tento plán v případě potřeby pravidelně aktualizovat</w:t>
      </w:r>
      <w:r w:rsidR="000945F5">
        <w:t>;</w:t>
      </w:r>
    </w:p>
    <w:p w14:paraId="2D5327EA" w14:textId="6E0F54CC" w:rsidR="00E57CC2" w:rsidRPr="00E57CC2" w:rsidRDefault="00E57CC2" w:rsidP="00364A28">
      <w:pPr>
        <w:pStyle w:val="Odstavecseseznamem"/>
        <w:numPr>
          <w:ilvl w:val="0"/>
          <w:numId w:val="6"/>
        </w:numPr>
        <w:tabs>
          <w:tab w:val="clear" w:pos="720"/>
        </w:tabs>
        <w:ind w:left="1418" w:hanging="357"/>
        <w:contextualSpacing w:val="0"/>
        <w:jc w:val="both"/>
        <w:rPr>
          <w:color w:val="FF0000"/>
        </w:rPr>
      </w:pPr>
      <w:r>
        <w:t>stručný popis potenciálního přínosu projektu a případného budoucího aplikačního potenciálu; stručný plán, jakým budou výsledky projektu komunikovány k jejich potenciálním uživatelům a veřejnosti; odkazy na použitou literaturu.</w:t>
      </w:r>
    </w:p>
    <w:p w14:paraId="7A390F92" w14:textId="77777777" w:rsidR="003949AF" w:rsidRPr="003949AF" w:rsidRDefault="003949AF" w:rsidP="008B262B">
      <w:pPr>
        <w:pStyle w:val="Odstavecseseznamem"/>
        <w:ind w:left="1418"/>
        <w:jc w:val="both"/>
        <w:rPr>
          <w:b/>
        </w:rPr>
      </w:pPr>
    </w:p>
    <w:p w14:paraId="2547F743" w14:textId="63768B84" w:rsidR="003949AF" w:rsidRPr="007C1E70" w:rsidRDefault="003949AF" w:rsidP="008B262B">
      <w:pPr>
        <w:pStyle w:val="Odstavecseseznamem"/>
        <w:numPr>
          <w:ilvl w:val="0"/>
          <w:numId w:val="5"/>
        </w:numPr>
        <w:tabs>
          <w:tab w:val="num" w:pos="1418"/>
        </w:tabs>
        <w:jc w:val="both"/>
        <w:rPr>
          <w:b/>
        </w:rPr>
      </w:pPr>
      <w:r w:rsidRPr="001E1DF0">
        <w:rPr>
          <w:b/>
          <w:bCs/>
          <w:u w:val="single"/>
        </w:rPr>
        <w:t>Životopis navrhovatele</w:t>
      </w:r>
      <w:r>
        <w:t xml:space="preserve"> (a spolunavrhovatelů v případě účasti více institucí)</w:t>
      </w:r>
      <w:r w:rsidR="001E1DF0">
        <w:t>:</w:t>
      </w:r>
    </w:p>
    <w:p w14:paraId="691AA446" w14:textId="77777777" w:rsidR="007C1E70" w:rsidRPr="007C1E70" w:rsidRDefault="007C1E70" w:rsidP="008B262B">
      <w:pPr>
        <w:pStyle w:val="Odstavecseseznamem"/>
        <w:ind w:left="1440"/>
        <w:contextualSpacing w:val="0"/>
        <w:jc w:val="both"/>
        <w:rPr>
          <w:b/>
          <w:bCs/>
        </w:rPr>
      </w:pPr>
    </w:p>
    <w:p w14:paraId="4A3E0D11" w14:textId="0F9F30AA" w:rsidR="003949AF" w:rsidRPr="007C1E70" w:rsidRDefault="003949AF" w:rsidP="008B262B">
      <w:pPr>
        <w:pStyle w:val="Odstavecseseznamem"/>
        <w:numPr>
          <w:ilvl w:val="1"/>
          <w:numId w:val="5"/>
        </w:numPr>
        <w:tabs>
          <w:tab w:val="clear" w:pos="1440"/>
          <w:tab w:val="num" w:pos="1418"/>
        </w:tabs>
        <w:contextualSpacing w:val="0"/>
        <w:jc w:val="both"/>
        <w:rPr>
          <w:b/>
          <w:bCs/>
        </w:rPr>
      </w:pPr>
      <w:r>
        <w:t xml:space="preserve">v </w:t>
      </w:r>
      <w:r w:rsidRPr="007C1E70">
        <w:rPr>
          <w:b/>
          <w:bCs/>
        </w:rPr>
        <w:t>anglickém jazyce</w:t>
      </w:r>
    </w:p>
    <w:p w14:paraId="158254E1" w14:textId="5661E267" w:rsidR="003949AF" w:rsidRPr="003949AF" w:rsidRDefault="003949AF" w:rsidP="008B262B">
      <w:pPr>
        <w:pStyle w:val="Odstavecseseznamem"/>
        <w:numPr>
          <w:ilvl w:val="1"/>
          <w:numId w:val="5"/>
        </w:numPr>
        <w:tabs>
          <w:tab w:val="clear" w:pos="1440"/>
          <w:tab w:val="num" w:pos="1418"/>
        </w:tabs>
        <w:contextualSpacing w:val="0"/>
        <w:jc w:val="both"/>
        <w:rPr>
          <w:b/>
        </w:rPr>
      </w:pPr>
      <w:r>
        <w:t xml:space="preserve">soubor vytvořený mimo aplikaci ve formátu PDF a max. velikosti 1 MB; max. rozsah </w:t>
      </w:r>
      <w:r w:rsidR="00E8327C">
        <w:rPr>
          <w:b/>
          <w:bCs/>
        </w:rPr>
        <w:t>2</w:t>
      </w:r>
      <w:r w:rsidRPr="007C1E70">
        <w:rPr>
          <w:b/>
          <w:bCs/>
        </w:rPr>
        <w:t xml:space="preserve"> strany formátu A4</w:t>
      </w:r>
      <w:r>
        <w:t xml:space="preserve"> s použitím písma o velikosti 11 bodů a řádkování 1</w:t>
      </w:r>
    </w:p>
    <w:p w14:paraId="7DB75B71" w14:textId="3FFA5AA8" w:rsidR="003949AF" w:rsidRPr="003949AF" w:rsidRDefault="003949AF" w:rsidP="008B262B">
      <w:pPr>
        <w:pStyle w:val="Odstavecseseznamem"/>
        <w:numPr>
          <w:ilvl w:val="1"/>
          <w:numId w:val="5"/>
        </w:numPr>
        <w:tabs>
          <w:tab w:val="clear" w:pos="1440"/>
          <w:tab w:val="num" w:pos="1418"/>
        </w:tabs>
        <w:contextualSpacing w:val="0"/>
        <w:jc w:val="both"/>
        <w:rPr>
          <w:b/>
        </w:rPr>
      </w:pPr>
      <w:r>
        <w:t>popř. další maximálně dvě strany na každého spolunavrhovatele;</w:t>
      </w:r>
    </w:p>
    <w:p w14:paraId="0274A432" w14:textId="474E3E9B" w:rsidR="003949AF" w:rsidRPr="0091571B" w:rsidRDefault="003949AF" w:rsidP="008B262B">
      <w:pPr>
        <w:pStyle w:val="Odstavecseseznamem"/>
        <w:numPr>
          <w:ilvl w:val="1"/>
          <w:numId w:val="5"/>
        </w:numPr>
        <w:tabs>
          <w:tab w:val="clear" w:pos="1440"/>
          <w:tab w:val="num" w:pos="1418"/>
        </w:tabs>
        <w:contextualSpacing w:val="0"/>
        <w:jc w:val="both"/>
        <w:rPr>
          <w:b/>
        </w:rPr>
      </w:pPr>
      <w:r w:rsidRPr="007C1E70">
        <w:rPr>
          <w:u w:val="single"/>
        </w:rPr>
        <w:t>Obsahuje:</w:t>
      </w:r>
      <w:r>
        <w:t xml:space="preserve"> stručný strukturovaný odborný životopis; výčet činností za posledních </w:t>
      </w:r>
      <w:r w:rsidRPr="00E8327C">
        <w:rPr>
          <w:b/>
          <w:bCs/>
        </w:rPr>
        <w:t>5 let</w:t>
      </w:r>
      <w:r>
        <w:t xml:space="preserve"> v oboru, který bude předmětem řešení grantového projektu (v případě potřeby lze uvést tyto údaje i o odborných spolupracovnících); navrhovatel (spolunavrhovatel) může uvést a vysvětlit případné mezery či snížení výzkumné produktivity v průběhu vědecké kariéry; </w:t>
      </w:r>
    </w:p>
    <w:p w14:paraId="649C8B0B" w14:textId="02B9BBA5" w:rsidR="00FC443D" w:rsidRPr="001E1DF0" w:rsidRDefault="0091571B" w:rsidP="0091571B">
      <w:pPr>
        <w:tabs>
          <w:tab w:val="num" w:pos="1418"/>
        </w:tabs>
        <w:rPr>
          <w:b/>
          <w:bCs/>
          <w:color w:val="2F5496" w:themeColor="accent5" w:themeShade="BF"/>
          <w:sz w:val="24"/>
          <w:szCs w:val="24"/>
        </w:rPr>
      </w:pPr>
      <w:r w:rsidRPr="001E1DF0">
        <w:rPr>
          <w:b/>
          <w:bCs/>
          <w:color w:val="2F5496" w:themeColor="accent5" w:themeShade="BF"/>
          <w:sz w:val="24"/>
          <w:szCs w:val="24"/>
        </w:rPr>
        <w:t xml:space="preserve">Nepovinné přílohy: </w:t>
      </w:r>
    </w:p>
    <w:p w14:paraId="5E9954FB" w14:textId="77777777" w:rsidR="00FC443D" w:rsidRDefault="0091571B" w:rsidP="008B262B">
      <w:pPr>
        <w:pStyle w:val="Odstavecseseznamem"/>
        <w:numPr>
          <w:ilvl w:val="0"/>
          <w:numId w:val="9"/>
        </w:numPr>
        <w:tabs>
          <w:tab w:val="num" w:pos="1418"/>
        </w:tabs>
        <w:jc w:val="both"/>
      </w:pPr>
      <w:r>
        <w:t>dohoda o společném záměru (Letter of Intent)</w:t>
      </w:r>
      <w:r w:rsidR="00FC443D">
        <w:t xml:space="preserve">; </w:t>
      </w:r>
    </w:p>
    <w:p w14:paraId="1F8AE5D2" w14:textId="77777777" w:rsidR="00FC443D" w:rsidRDefault="00FC443D" w:rsidP="008B262B">
      <w:pPr>
        <w:pStyle w:val="Odstavecseseznamem"/>
        <w:numPr>
          <w:ilvl w:val="0"/>
          <w:numId w:val="9"/>
        </w:numPr>
        <w:tabs>
          <w:tab w:val="num" w:pos="1418"/>
        </w:tabs>
        <w:jc w:val="both"/>
      </w:pPr>
      <w:r>
        <w:t xml:space="preserve">kopie speciálních oprávnění podle zvláštního právního předpisu; </w:t>
      </w:r>
    </w:p>
    <w:p w14:paraId="793212D1" w14:textId="1BCB796E" w:rsidR="0091571B" w:rsidRPr="00FC443D" w:rsidRDefault="00FC443D" w:rsidP="008B262B">
      <w:pPr>
        <w:pStyle w:val="Odstavecseseznamem"/>
        <w:numPr>
          <w:ilvl w:val="0"/>
          <w:numId w:val="9"/>
        </w:numPr>
        <w:tabs>
          <w:tab w:val="num" w:pos="1418"/>
        </w:tabs>
        <w:jc w:val="both"/>
        <w:rPr>
          <w:b/>
        </w:rPr>
      </w:pPr>
      <w:r>
        <w:t>nabídka identifikace dodavatele, předmětu dodávky a předběžné ceny</w:t>
      </w:r>
      <w:r w:rsidR="00BC2555">
        <w:t xml:space="preserve"> </w:t>
      </w:r>
      <w:bookmarkStart w:id="9" w:name="_Hlk97893819"/>
      <w:r w:rsidR="00BC2555">
        <w:t xml:space="preserve">– nad </w:t>
      </w:r>
      <w:r w:rsidR="00CA1E0A">
        <w:t>250</w:t>
      </w:r>
      <w:r w:rsidR="00BC2555">
        <w:t xml:space="preserve"> 000 Kč u dlouhodobého majetku; nad </w:t>
      </w:r>
      <w:r w:rsidR="00D37FE3">
        <w:t>75</w:t>
      </w:r>
      <w:r w:rsidR="00BC2555">
        <w:t>0 000 Kč pro vše od jednoho dodavatele</w:t>
      </w:r>
    </w:p>
    <w:bookmarkEnd w:id="9"/>
    <w:p w14:paraId="1B9F4AA0" w14:textId="77777777" w:rsidR="00FC443D" w:rsidRPr="00FC443D" w:rsidRDefault="00FC443D" w:rsidP="008B262B">
      <w:pPr>
        <w:pStyle w:val="Odstavecseseznamem"/>
        <w:numPr>
          <w:ilvl w:val="0"/>
          <w:numId w:val="9"/>
        </w:numPr>
        <w:tabs>
          <w:tab w:val="num" w:pos="1418"/>
        </w:tabs>
        <w:jc w:val="both"/>
        <w:rPr>
          <w:b/>
        </w:rPr>
      </w:pPr>
      <w:r>
        <w:t xml:space="preserve">plná moc (v případě, že uchazeč nedisponuje vlastní datovou schránkou); </w:t>
      </w:r>
    </w:p>
    <w:p w14:paraId="695C12AA" w14:textId="45E9C2F3" w:rsidR="00FC443D" w:rsidRPr="001E1DF0" w:rsidRDefault="00FC443D" w:rsidP="008B262B">
      <w:pPr>
        <w:pStyle w:val="Odstavecseseznamem"/>
        <w:numPr>
          <w:ilvl w:val="0"/>
          <w:numId w:val="9"/>
        </w:numPr>
        <w:tabs>
          <w:tab w:val="num" w:pos="1418"/>
        </w:tabs>
        <w:jc w:val="both"/>
        <w:rPr>
          <w:b/>
        </w:rPr>
      </w:pPr>
      <w:r>
        <w:t>seznam zahraničních pracovišť, kterým by nebylo vhodné návrh projektu zasílat k posouzení včetně zdůvodnění;</w:t>
      </w:r>
    </w:p>
    <w:p w14:paraId="640E5128" w14:textId="2A18D6EC" w:rsidR="00BC2555" w:rsidRDefault="00BC2555" w:rsidP="00E8327C">
      <w:pPr>
        <w:tabs>
          <w:tab w:val="num" w:pos="1418"/>
        </w:tabs>
        <w:rPr>
          <w:b/>
          <w:bCs/>
          <w:color w:val="FF0000"/>
        </w:rPr>
      </w:pPr>
    </w:p>
    <w:p w14:paraId="15F9EB3D" w14:textId="77777777" w:rsidR="00B15BEE" w:rsidRDefault="00B15BEE" w:rsidP="00E8327C">
      <w:pPr>
        <w:tabs>
          <w:tab w:val="num" w:pos="1418"/>
        </w:tabs>
        <w:rPr>
          <w:b/>
          <w:bCs/>
          <w:color w:val="FF0000"/>
        </w:rPr>
      </w:pPr>
    </w:p>
    <w:p w14:paraId="28DE3BD3" w14:textId="1D15B004" w:rsidR="00E8327C" w:rsidRPr="00E8327C" w:rsidRDefault="00E8327C" w:rsidP="00E8327C">
      <w:pPr>
        <w:tabs>
          <w:tab w:val="num" w:pos="1418"/>
        </w:tabs>
        <w:rPr>
          <w:b/>
          <w:bCs/>
          <w:color w:val="FF0000"/>
        </w:rPr>
      </w:pPr>
      <w:r w:rsidRPr="00E8327C">
        <w:rPr>
          <w:b/>
          <w:bCs/>
          <w:color w:val="FF0000"/>
        </w:rPr>
        <w:lastRenderedPageBreak/>
        <w:t>Dbejte proto prosím, aby váš návrh nevykazoval závažné nedostatky, jako jsou tyto:</w:t>
      </w:r>
    </w:p>
    <w:p w14:paraId="70A9D8F4" w14:textId="41350FF7" w:rsidR="00E8327C" w:rsidRPr="00E8327C" w:rsidRDefault="00E8327C" w:rsidP="00E8327C">
      <w:pPr>
        <w:pStyle w:val="Odstavecseseznamem"/>
        <w:numPr>
          <w:ilvl w:val="0"/>
          <w:numId w:val="12"/>
        </w:numPr>
        <w:tabs>
          <w:tab w:val="num" w:pos="1418"/>
        </w:tabs>
      </w:pPr>
      <w:r w:rsidRPr="00E8327C">
        <w:t xml:space="preserve">nedostatečná nebo chybějící definice „knowledge gap“ (projekt není založen na originální </w:t>
      </w:r>
    </w:p>
    <w:p w14:paraId="3EF4F789" w14:textId="77777777" w:rsidR="00E8327C" w:rsidRPr="00E8327C" w:rsidRDefault="00E8327C" w:rsidP="00E8327C">
      <w:pPr>
        <w:pStyle w:val="Odstavecseseznamem"/>
        <w:tabs>
          <w:tab w:val="num" w:pos="1418"/>
        </w:tabs>
      </w:pPr>
      <w:r w:rsidRPr="00E8327C">
        <w:t>myšlence);</w:t>
      </w:r>
    </w:p>
    <w:p w14:paraId="56C91604" w14:textId="6D718EFF" w:rsidR="00E8327C" w:rsidRPr="00E8327C" w:rsidRDefault="00E8327C" w:rsidP="00E8327C">
      <w:pPr>
        <w:pStyle w:val="Odstavecseseznamem"/>
        <w:numPr>
          <w:ilvl w:val="0"/>
          <w:numId w:val="12"/>
        </w:numPr>
        <w:tabs>
          <w:tab w:val="num" w:pos="1418"/>
        </w:tabs>
      </w:pPr>
      <w:r w:rsidRPr="00E8327C">
        <w:t>nejasně formulovaná hypotéza a způsob jejího ověření;</w:t>
      </w:r>
    </w:p>
    <w:p w14:paraId="7B5E69B9" w14:textId="67161E37" w:rsidR="00E8327C" w:rsidRPr="00E8327C" w:rsidRDefault="00E8327C" w:rsidP="00E8327C">
      <w:pPr>
        <w:pStyle w:val="Odstavecseseznamem"/>
        <w:numPr>
          <w:ilvl w:val="0"/>
          <w:numId w:val="12"/>
        </w:numPr>
        <w:tabs>
          <w:tab w:val="num" w:pos="1418"/>
        </w:tabs>
      </w:pPr>
      <w:r w:rsidRPr="00E8327C">
        <w:t>metodika, která není adekvátní k ověření formulované hypotézy;</w:t>
      </w:r>
    </w:p>
    <w:p w14:paraId="700AC8FA" w14:textId="3C97925F" w:rsidR="00E8327C" w:rsidRPr="00E8327C" w:rsidRDefault="00E8327C" w:rsidP="00E8327C">
      <w:pPr>
        <w:pStyle w:val="Odstavecseseznamem"/>
        <w:numPr>
          <w:ilvl w:val="0"/>
          <w:numId w:val="12"/>
        </w:numPr>
        <w:tabs>
          <w:tab w:val="num" w:pos="1418"/>
        </w:tabs>
      </w:pPr>
      <w:r w:rsidRPr="00E8327C">
        <w:t xml:space="preserve">předpokládaným výzkumem, resp. sběrem a zpracováním předpokládaných dat nemůže </w:t>
      </w:r>
    </w:p>
    <w:p w14:paraId="502BEC8F" w14:textId="68CD18E0" w:rsidR="001E1DF0" w:rsidRPr="00E8327C" w:rsidRDefault="00E8327C" w:rsidP="00E8327C">
      <w:pPr>
        <w:pStyle w:val="Odstavecseseznamem"/>
        <w:tabs>
          <w:tab w:val="num" w:pos="1418"/>
        </w:tabs>
      </w:pPr>
      <w:r w:rsidRPr="00E8327C">
        <w:t>být dosaženo deklarovaných výsledků či cílů.</w:t>
      </w:r>
    </w:p>
    <w:p w14:paraId="51D3C838" w14:textId="77777777" w:rsidR="00BC2555" w:rsidRDefault="00BC2555" w:rsidP="001E1DF0">
      <w:pPr>
        <w:tabs>
          <w:tab w:val="num" w:pos="1418"/>
        </w:tabs>
        <w:rPr>
          <w:b/>
          <w:bCs/>
          <w:color w:val="2F5496" w:themeColor="accent5" w:themeShade="BF"/>
          <w:sz w:val="24"/>
          <w:szCs w:val="24"/>
        </w:rPr>
      </w:pPr>
    </w:p>
    <w:p w14:paraId="0B74D5DF" w14:textId="6BE11A46" w:rsidR="008750AA" w:rsidRPr="00D72045" w:rsidRDefault="001E1DF0" w:rsidP="001E1DF0">
      <w:pPr>
        <w:tabs>
          <w:tab w:val="num" w:pos="1418"/>
        </w:tabs>
      </w:pPr>
      <w:r w:rsidRPr="001E1DF0">
        <w:rPr>
          <w:b/>
          <w:bCs/>
          <w:color w:val="2F5496" w:themeColor="accent5" w:themeShade="BF"/>
          <w:sz w:val="24"/>
          <w:szCs w:val="24"/>
        </w:rPr>
        <w:t>Odkaz</w:t>
      </w:r>
      <w:r w:rsidR="00D72045">
        <w:rPr>
          <w:b/>
          <w:bCs/>
          <w:color w:val="2F5496" w:themeColor="accent5" w:themeShade="BF"/>
          <w:sz w:val="24"/>
          <w:szCs w:val="24"/>
        </w:rPr>
        <w:t xml:space="preserve"> na soutěž: </w:t>
      </w:r>
      <w:hyperlink r:id="rId12" w:history="1">
        <w:r w:rsidR="00A16269">
          <w:rPr>
            <w:rStyle w:val="Hypertextovodkaz"/>
          </w:rPr>
          <w:t>Vyhlášení soutěží pro rok 2025 - Grantová agentura České republiky (gacr.cz)</w:t>
        </w:r>
      </w:hyperlink>
      <w:r w:rsidR="00A16269">
        <w:t xml:space="preserve"> </w:t>
      </w:r>
    </w:p>
    <w:sectPr w:rsidR="008750AA" w:rsidRPr="00D72045" w:rsidSect="006440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1B0E4" w14:textId="77777777" w:rsidR="008461C8" w:rsidRDefault="008461C8" w:rsidP="00FF3873">
      <w:pPr>
        <w:spacing w:after="0" w:line="240" w:lineRule="auto"/>
      </w:pPr>
      <w:r>
        <w:separator/>
      </w:r>
    </w:p>
  </w:endnote>
  <w:endnote w:type="continuationSeparator" w:id="0">
    <w:p w14:paraId="2B9470E5" w14:textId="77777777" w:rsidR="008461C8" w:rsidRDefault="008461C8" w:rsidP="00FF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0419D" w14:textId="77777777" w:rsidR="00B66E77" w:rsidRDefault="00B66E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2C6C0" w14:textId="0285DE3C" w:rsidR="0075788C" w:rsidRDefault="0075788C">
    <w:pPr>
      <w:pStyle w:val="Zpat"/>
    </w:pPr>
    <w:r>
      <w:rPr>
        <w:noProof/>
        <w:sz w:val="28"/>
        <w:szCs w:val="28"/>
        <w:lang w:eastAsia="cs-CZ"/>
      </w:rPr>
      <w:drawing>
        <wp:anchor distT="0" distB="0" distL="114300" distR="114300" simplePos="0" relativeHeight="251661312" behindDoc="0" locked="0" layoutInCell="1" allowOverlap="1" wp14:anchorId="58379698" wp14:editId="252F7064">
          <wp:simplePos x="0" y="0"/>
          <wp:positionH relativeFrom="column">
            <wp:posOffset>76200</wp:posOffset>
          </wp:positionH>
          <wp:positionV relativeFrom="paragraph">
            <wp:posOffset>-21590</wp:posOffset>
          </wp:positionV>
          <wp:extent cx="626400" cy="212400"/>
          <wp:effectExtent l="0" t="0" r="254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nToma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" cy="2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</w:t>
    </w:r>
    <w:bookmarkStart w:id="10" w:name="_GoBack"/>
    <w:bookmarkEnd w:id="10"/>
    <w:r w:rsidR="00B66E77" w:rsidRPr="00B66E77">
      <w:fldChar w:fldCharType="begin"/>
    </w:r>
    <w:r w:rsidR="00B66E77" w:rsidRPr="00B66E77">
      <w:instrText xml:space="preserve"> HYPERLINK "https://grantomat.fme.vutbr.cz/vyzva/157" </w:instrText>
    </w:r>
    <w:r w:rsidR="00B66E77" w:rsidRPr="00B66E77">
      <w:fldChar w:fldCharType="separate"/>
    </w:r>
    <w:r w:rsidR="00A30013" w:rsidRPr="00B66E77">
      <w:rPr>
        <w:rStyle w:val="Hypertextovodkaz"/>
      </w:rPr>
      <w:t>https://grantomat.fme.vutbr.cz/vyzva/157</w:t>
    </w:r>
    <w:r w:rsidR="00B66E77" w:rsidRPr="00B66E77">
      <w:rPr>
        <w:rStyle w:val="Hypertextovodkaz"/>
      </w:rPr>
      <w:fldChar w:fldCharType="end"/>
    </w:r>
    <w:r w:rsidR="00A3001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2F1AD" w14:textId="77777777" w:rsidR="00B66E77" w:rsidRDefault="00B66E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A8940" w14:textId="77777777" w:rsidR="008461C8" w:rsidRDefault="008461C8" w:rsidP="00FF3873">
      <w:pPr>
        <w:spacing w:after="0" w:line="240" w:lineRule="auto"/>
      </w:pPr>
      <w:r>
        <w:separator/>
      </w:r>
    </w:p>
  </w:footnote>
  <w:footnote w:type="continuationSeparator" w:id="0">
    <w:p w14:paraId="5420D468" w14:textId="77777777" w:rsidR="008461C8" w:rsidRDefault="008461C8" w:rsidP="00FF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60B63" w14:textId="77777777" w:rsidR="00B66E77" w:rsidRDefault="00B66E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82C65" w14:textId="77777777" w:rsidR="00FF3873" w:rsidRDefault="00FF3873" w:rsidP="00FF3873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96DEDCB" wp14:editId="19486807">
          <wp:simplePos x="0" y="0"/>
          <wp:positionH relativeFrom="margin">
            <wp:posOffset>113030</wp:posOffset>
          </wp:positionH>
          <wp:positionV relativeFrom="paragraph">
            <wp:posOffset>-83820</wp:posOffset>
          </wp:positionV>
          <wp:extent cx="1953895" cy="495300"/>
          <wp:effectExtent l="0" t="0" r="8255" b="0"/>
          <wp:wrapThrough wrapText="bothSides">
            <wp:wrapPolygon edited="0">
              <wp:start x="0" y="0"/>
              <wp:lineTo x="0" y="20769"/>
              <wp:lineTo x="21481" y="20769"/>
              <wp:lineTo x="2148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89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Informace Oddělení projektové podpory</w:t>
    </w:r>
  </w:p>
  <w:p w14:paraId="7AEBF6F4" w14:textId="0F82406B" w:rsidR="00FF3873" w:rsidRDefault="009048C5" w:rsidP="00FF3873">
    <w:pPr>
      <w:pStyle w:val="Zhlav"/>
      <w:jc w:val="right"/>
    </w:pPr>
    <w:r>
      <w:t>1</w:t>
    </w:r>
    <w:r w:rsidR="0009318B">
      <w:t>4</w:t>
    </w:r>
    <w:r>
      <w:t>.</w:t>
    </w:r>
    <w:r w:rsidR="002001A2">
      <w:t xml:space="preserve"> </w:t>
    </w:r>
    <w:r>
      <w:t>2</w:t>
    </w:r>
    <w:r w:rsidR="002001A2">
      <w:t>.</w:t>
    </w:r>
    <w:r>
      <w:t xml:space="preserve"> 202</w:t>
    </w:r>
    <w:r w:rsidR="0009318B">
      <w:t>4</w:t>
    </w:r>
  </w:p>
  <w:p w14:paraId="3D6CCE78" w14:textId="77777777" w:rsidR="00FF3873" w:rsidRDefault="00FF38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E48D5" w14:textId="77777777" w:rsidR="00B66E77" w:rsidRDefault="00B66E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205D"/>
    <w:multiLevelType w:val="multilevel"/>
    <w:tmpl w:val="FC2C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607A2"/>
    <w:multiLevelType w:val="hybridMultilevel"/>
    <w:tmpl w:val="2162FD60"/>
    <w:lvl w:ilvl="0" w:tplc="079E8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59D6"/>
    <w:multiLevelType w:val="hybridMultilevel"/>
    <w:tmpl w:val="62500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0373"/>
    <w:multiLevelType w:val="hybridMultilevel"/>
    <w:tmpl w:val="EDBCC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E42F5"/>
    <w:multiLevelType w:val="hybridMultilevel"/>
    <w:tmpl w:val="BB902548"/>
    <w:lvl w:ilvl="0" w:tplc="65F004A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53C18"/>
    <w:multiLevelType w:val="multilevel"/>
    <w:tmpl w:val="DD188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979F7"/>
    <w:multiLevelType w:val="hybridMultilevel"/>
    <w:tmpl w:val="5574C14C"/>
    <w:lvl w:ilvl="0" w:tplc="138EB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31F4"/>
    <w:multiLevelType w:val="hybridMultilevel"/>
    <w:tmpl w:val="2EE45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221CA"/>
    <w:multiLevelType w:val="hybridMultilevel"/>
    <w:tmpl w:val="EE0032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34A6B"/>
    <w:multiLevelType w:val="hybridMultilevel"/>
    <w:tmpl w:val="570617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D9381F"/>
    <w:multiLevelType w:val="multilevel"/>
    <w:tmpl w:val="DD86EE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813EC"/>
    <w:multiLevelType w:val="hybridMultilevel"/>
    <w:tmpl w:val="EC3EB396"/>
    <w:lvl w:ilvl="0" w:tplc="39307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73"/>
    <w:rsid w:val="00004561"/>
    <w:rsid w:val="00007AF1"/>
    <w:rsid w:val="00012C52"/>
    <w:rsid w:val="0008531D"/>
    <w:rsid w:val="0009318B"/>
    <w:rsid w:val="000945F5"/>
    <w:rsid w:val="000A7ECC"/>
    <w:rsid w:val="000C7E72"/>
    <w:rsid w:val="00170316"/>
    <w:rsid w:val="001D7150"/>
    <w:rsid w:val="001E1DF0"/>
    <w:rsid w:val="002001A2"/>
    <w:rsid w:val="00297AC0"/>
    <w:rsid w:val="002D2AF7"/>
    <w:rsid w:val="003949AF"/>
    <w:rsid w:val="003E4CF3"/>
    <w:rsid w:val="00404FE3"/>
    <w:rsid w:val="00416DF6"/>
    <w:rsid w:val="0043310B"/>
    <w:rsid w:val="00441F95"/>
    <w:rsid w:val="00480427"/>
    <w:rsid w:val="004C533D"/>
    <w:rsid w:val="004C7D3B"/>
    <w:rsid w:val="00500BD2"/>
    <w:rsid w:val="00572E00"/>
    <w:rsid w:val="005C47A9"/>
    <w:rsid w:val="006440EB"/>
    <w:rsid w:val="006B68D1"/>
    <w:rsid w:val="006C7FFD"/>
    <w:rsid w:val="006F13F5"/>
    <w:rsid w:val="0075788C"/>
    <w:rsid w:val="00772F81"/>
    <w:rsid w:val="007C1E70"/>
    <w:rsid w:val="007C69F4"/>
    <w:rsid w:val="007F096C"/>
    <w:rsid w:val="00806836"/>
    <w:rsid w:val="00811857"/>
    <w:rsid w:val="0083488E"/>
    <w:rsid w:val="008461C8"/>
    <w:rsid w:val="008750AA"/>
    <w:rsid w:val="008B262B"/>
    <w:rsid w:val="00902726"/>
    <w:rsid w:val="009046C7"/>
    <w:rsid w:val="009048C5"/>
    <w:rsid w:val="009146FE"/>
    <w:rsid w:val="0091571B"/>
    <w:rsid w:val="009478EC"/>
    <w:rsid w:val="009A68E0"/>
    <w:rsid w:val="00A16269"/>
    <w:rsid w:val="00A22116"/>
    <w:rsid w:val="00A30013"/>
    <w:rsid w:val="00A430B9"/>
    <w:rsid w:val="00A639EE"/>
    <w:rsid w:val="00AE7EC4"/>
    <w:rsid w:val="00AF5C6F"/>
    <w:rsid w:val="00B00FC2"/>
    <w:rsid w:val="00B15BEE"/>
    <w:rsid w:val="00B66E77"/>
    <w:rsid w:val="00BB6458"/>
    <w:rsid w:val="00BC2555"/>
    <w:rsid w:val="00CA1E0A"/>
    <w:rsid w:val="00CA441D"/>
    <w:rsid w:val="00D002D0"/>
    <w:rsid w:val="00D070E3"/>
    <w:rsid w:val="00D37FE3"/>
    <w:rsid w:val="00D45666"/>
    <w:rsid w:val="00D52837"/>
    <w:rsid w:val="00D614A0"/>
    <w:rsid w:val="00D72045"/>
    <w:rsid w:val="00D845B3"/>
    <w:rsid w:val="00D918D4"/>
    <w:rsid w:val="00E12C7D"/>
    <w:rsid w:val="00E57CC2"/>
    <w:rsid w:val="00E80B32"/>
    <w:rsid w:val="00E8327C"/>
    <w:rsid w:val="00FC443D"/>
    <w:rsid w:val="00F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087987"/>
  <w15:chartTrackingRefBased/>
  <w15:docId w15:val="{8754E8B3-688E-4807-9B54-EA3C14AA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38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3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3873"/>
  </w:style>
  <w:style w:type="paragraph" w:styleId="Zpat">
    <w:name w:val="footer"/>
    <w:basedOn w:val="Normln"/>
    <w:link w:val="ZpatChar"/>
    <w:uiPriority w:val="99"/>
    <w:unhideWhenUsed/>
    <w:rsid w:val="00FF3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3873"/>
  </w:style>
  <w:style w:type="paragraph" w:styleId="Odstavecseseznamem">
    <w:name w:val="List Paragraph"/>
    <w:basedOn w:val="Normln"/>
    <w:uiPriority w:val="34"/>
    <w:qFormat/>
    <w:rsid w:val="00FF387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13F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13F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157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57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571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7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71B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00BD2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0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9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8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3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cr.cz/wp-content/uploads/2022/07/FAQ-udaje-v-navrzich-projektu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acr.cz/std-25/" TargetMode="External"/><Relationship Id="rId12" Type="http://schemas.openxmlformats.org/officeDocument/2006/relationships/hyperlink" Target="https://gacr.cz/vyhlaseni-soutezi-pro-rok-2025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axess.ec.europa.eu/jobs/hrs4r/awarde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vut.cz/vut/hr-award/aktuality/ep-cj-1-plan-genderove-rovnosti-vut-2022-2024-final-pdf-p21828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s.gris.cz/cas/login?service=https%3A%2F%2Fwww.gris.cz%2Fapex%2Ff%3Fp%3D103%253A5000%253A3099060450976175%253A%253ANO%253ARP%252C5000%253A%253A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1426</Words>
  <Characters>8419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Lipenská</dc:creator>
  <cp:keywords/>
  <dc:description/>
  <cp:lastModifiedBy>vykypelova</cp:lastModifiedBy>
  <cp:revision>10</cp:revision>
  <cp:lastPrinted>2023-02-17T12:08:00Z</cp:lastPrinted>
  <dcterms:created xsi:type="dcterms:W3CDTF">2024-02-14T08:26:00Z</dcterms:created>
  <dcterms:modified xsi:type="dcterms:W3CDTF">2024-02-16T12:36:00Z</dcterms:modified>
</cp:coreProperties>
</file>